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Biosynthèse des acides nucléiques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Gros, François/ Grunberg-Manago, Marianne/ </w:t>
            </w:r>
          </w:p>
        </w:tc>
      </w:tr>
      <w:tr>
        <w:trPr>
          <w:trHeight w:val="567"/>
        </w:trPr>
        <w:tc>
          <w:tcPr>
            <w:tcW w:type="dxa" w:w="3000"/>
          </w:tcPr>
          <w:p>
            <w:r>
              <w:t>Adresse bib.</w:t>
            </w:r>
          </w:p>
        </w:tc>
        <w:tc>
          <w:tcPr>
            <w:tcW w:type="dxa" w:w="7000"/>
          </w:tcPr>
          <w:p>
            <w:r>
              <w:t xml:space="preserve">Hermann/ </w:t>
            </w:r>
          </w:p>
        </w:tc>
      </w:tr>
      <w:tr>
        <w:trPr>
          <w:trHeight w:val="567"/>
        </w:trPr>
        <w:tc>
          <w:tcPr>
            <w:tcW w:type="dxa" w:w="3000"/>
          </w:tcPr>
          <w:p>
            <w:r>
              <w:t>Nombre de Pages</w:t>
            </w:r>
          </w:p>
        </w:tc>
        <w:tc>
          <w:tcPr>
            <w:tcW w:type="dxa" w:w="7000"/>
          </w:tcPr>
          <w:p>
            <w:r>
              <w:t>329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Collection Méthodes(N°:None)</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270565626X</w:t>
            </w:r>
          </w:p>
        </w:tc>
      </w:tr>
      <w:tr>
        <w:trPr>
          <w:trHeight w:val="567"/>
        </w:trPr>
        <w:tc>
          <w:tcPr>
            <w:tcW w:type="dxa" w:w="3000"/>
          </w:tcPr>
          <w:p>
            <w:r>
              <w:t>Thème</w:t>
            </w:r>
          </w:p>
        </w:tc>
        <w:tc>
          <w:tcPr>
            <w:tcW w:type="dxa" w:w="7000"/>
          </w:tcPr>
          <w:p>
            <w:r>
              <w:t>BIOCHIMIE</w:t>
            </w:r>
          </w:p>
        </w:tc>
      </w:tr>
      <w:tr>
        <w:trPr>
          <w:trHeight w:val="567"/>
        </w:trPr>
        <w:tc>
          <w:tcPr>
            <w:tcW w:type="dxa" w:w="3000"/>
          </w:tcPr>
          <w:p>
            <w:r>
              <w:t>Classification(s)</w:t>
            </w:r>
          </w:p>
        </w:tc>
        <w:tc>
          <w:tcPr>
            <w:tcW w:type="dxa" w:w="7000"/>
          </w:tcPr>
          <w:p>
            <w:r>
              <w:t xml:space="preserve">Biochimie/ </w:t>
            </w:r>
          </w:p>
        </w:tc>
      </w:tr>
      <w:tr>
        <w:trPr>
          <w:trHeight w:val="567"/>
        </w:trPr>
        <w:tc>
          <w:tcPr>
            <w:tcW w:type="dxa" w:w="3000"/>
          </w:tcPr>
          <w:p>
            <w:r>
              <w:t>Sujet(s)</w:t>
            </w:r>
          </w:p>
        </w:tc>
        <w:tc>
          <w:tcPr>
            <w:tcW w:type="dxa" w:w="7000"/>
          </w:tcPr>
          <w:p>
            <w:r>
              <w:t xml:space="preserve">biosynthèse/ </w:t>
            </w:r>
          </w:p>
        </w:tc>
      </w:tr>
    </w:tbl>
    <w:p>
      <w:pPr>
        <w:pStyle w:val="Heading3"/>
      </w:pPr>
      <w:r>
        <w:t>Résumé :</w:t>
      </w:r>
    </w:p>
    <w:p>
      <w:r>
        <w:t>Cet ouvrage classique, rédigé par deux figures majeures de la biologie moléculaire française, présente les mécanismes fondamentaux de la biosynthèse des acides nucléiques. Il s’adresse principalement aux étudiants en biologie, médecine et biochimie.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