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hyperstatiques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MOMANU, Gheorghe/ SARDA, Patrik/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151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Structure/ </w:t>
            </w:r>
          </w:p>
        </w:tc>
      </w:tr>
      <w:tr>
        <w:trPr>
          <w:trHeight w:val="567"/>
        </w:trPr>
        <w:tc>
          <w:tcPr>
            <w:tcW w:type="dxa" w:w="3000"/>
          </w:tcPr>
          <w:p>
            <w:r>
              <w:t>Sujet(s)</w:t>
            </w:r>
          </w:p>
        </w:tc>
        <w:tc>
          <w:tcPr>
            <w:tcW w:type="dxa" w:w="7000"/>
          </w:tcPr>
          <w:p>
            <w:r>
              <w:t xml:space="preserve">structure hyperstatique/ </w:t>
            </w:r>
          </w:p>
        </w:tc>
      </w:tr>
    </w:tbl>
    <w:p>
      <w:pPr>
        <w:pStyle w:val="Heading3"/>
      </w:pPr>
      <w:r>
        <w:t>Résumé :</w:t>
      </w:r>
    </w:p>
    <w:p>
      <w:r>
        <w:t>la conception et le calcul des structures font partie de l'activité quotidienne de l'ingénieur projeteur, notamment de celui dont le travail se déroule dans le domaine des constructions. la fréquence des structures hyperstatiques dans l'ensemble des structures réalisées est de loin prépondérante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