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Landry,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licence 3, master, écoles d'ingénieurs(N°:None)</w:t>
            </w:r>
          </w:p>
        </w:tc>
      </w:tr>
      <w:tr>
        <w:trPr>
          <w:trHeight w:val="567"/>
        </w:trPr>
        <w:tc>
          <w:tcPr>
            <w:tcW w:type="dxa" w:w="3000"/>
          </w:tcPr>
          <w:p>
            <w:r>
              <w:t>Notes Générales</w:t>
            </w:r>
          </w:p>
        </w:tc>
        <w:tc>
          <w:tcPr>
            <w:tcW w:type="dxa" w:w="7000"/>
          </w:tcPr>
          <w:p>
            <w:r>
              <w:t>Index p.p. 555-596</w:t>
            </w:r>
          </w:p>
        </w:tc>
      </w:tr>
      <w:tr>
        <w:trPr>
          <w:trHeight w:val="567"/>
        </w:trPr>
        <w:tc>
          <w:tcPr>
            <w:tcW w:type="dxa" w:w="3000"/>
          </w:tcPr>
          <w:p>
            <w:r>
              <w:t>Numéro d'Identification</w:t>
            </w:r>
          </w:p>
        </w:tc>
        <w:tc>
          <w:tcPr>
            <w:tcW w:type="dxa" w:w="7000"/>
          </w:tcPr>
          <w:p>
            <w:r>
              <w:t>210006651X</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w:t>
            </w:r>
          </w:p>
        </w:tc>
      </w:tr>
    </w:tbl>
    <w:p>
      <w:pPr>
        <w:pStyle w:val="Heading3"/>
      </w:pPr>
      <w:r>
        <w:t>Résumé :</w:t>
      </w:r>
    </w:p>
    <w:p>
      <w:r>
        <w:t>Ce livre de référence, magnifiquement illustré, renouvelle totalement l'approche pédagogique de la pharmacologie, science de synthèse qui cerne le médicament, ses cibles biologiques et ses indications thérapeutiques. Le cours présente toutes les notions utiles pour comprendre le mécanisme d'action des médicaments. Il est illustré par de nombreux encarts qui promènent le lecteur dans la petite histoire du médicament et envisagent les perspectives d'avenir. Des exercices sont proposés en fin d'ouvrage tandis qu'un index très détaillé permet de retrouver très vite un médicament, à partir de sa dénomination commune internationale. L'ouvrage s'adresse aux étudiants en pharmacie, en médecine et en sciences de la vie mais aussi à tous les professionnels de la Santé et du Médicament qui y trouveront les connaissances et les concepts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