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toxicologie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Moutschen, Jean/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134-142</w:t>
            </w:r>
          </w:p>
        </w:tc>
      </w:tr>
      <w:tr>
        <w:trPr>
          <w:trHeight w:val="567"/>
        </w:trPr>
        <w:tc>
          <w:tcPr>
            <w:tcW w:type="dxa" w:w="3000"/>
          </w:tcPr>
          <w:p>
            <w:r>
              <w:t>Numéro d'Identification</w:t>
            </w:r>
          </w:p>
        </w:tc>
        <w:tc>
          <w:tcPr>
            <w:tcW w:type="dxa" w:w="7000"/>
          </w:tcPr>
          <w:p>
            <w:r>
              <w:t>2225632170</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615.1/ </w:t>
            </w:r>
          </w:p>
        </w:tc>
      </w:tr>
      <w:tr>
        <w:trPr>
          <w:trHeight w:val="567"/>
        </w:trPr>
        <w:tc>
          <w:tcPr>
            <w:tcW w:type="dxa" w:w="3000"/>
          </w:tcPr>
          <w:p>
            <w:r>
              <w:t>Sujet(s)</w:t>
            </w:r>
          </w:p>
        </w:tc>
        <w:tc>
          <w:tcPr>
            <w:tcW w:type="dxa" w:w="7000"/>
          </w:tcPr>
          <w:p>
            <w:r>
              <w:t xml:space="preserve">toxicologie génétique/ </w:t>
            </w:r>
          </w:p>
        </w:tc>
      </w:tr>
    </w:tbl>
    <w:p>
      <w:pPr>
        <w:pStyle w:val="Heading3"/>
      </w:pPr>
      <w:r>
        <w:t>Résumé :</w:t>
      </w:r>
    </w:p>
    <w:p>
      <w:r>
        <w:t>Dans ce livre, l’auteur présente les concepts clés de la toxicologie génétique, y compris les types de dommages à l’ADN, les méthodes d’analyse des effets génotoxiques, et les implications de ces dommages sur la santé humaine et l’environnement. Il met également l’accent sur l’importance de l’évaluation des risques et des stratégies de prévention des dommages génétiques.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