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L'irrigation par aspersion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9789961016886</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bl>
    <w:p>
      <w:pPr>
        <w:pStyle w:val="Heading3"/>
      </w:pPr>
      <w:r>
        <w:t>Résumé :</w:t>
      </w:r>
    </w:p>
    <w:p>
      <w:r>
        <w:t>L'Ouvrage explique en détail les fondements hydrauliques indispensables à la conception d’un réseau performant : débit, pression, pertes de charge, dimensionnement des conduites, choix et paramétrage des asperseurs. L’ouvrage expose également les critères techniques permettant d’obtenir une répartition uniforme de l’eau et d’éviter les pertes par ruissellement, évaporation ou battance du sol. Une large partie est consacrée aux **types de matériel** disponibles sur le marché (systèmes fixes, semi-mobiles, mobiles, pivots, rampes frontales), ainsi qu’aux méthodes de **diagnostic et d’entretien** afin de maintenir l’efficacité du système sur le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