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 la réglementation géotechnique. T1,fondations superficielles et profondes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Bouafia, Ali/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p.p 365-377</w:t>
            </w:r>
          </w:p>
        </w:tc>
      </w:tr>
      <w:tr>
        <w:trPr>
          <w:trHeight w:val="567"/>
        </w:trPr>
        <w:tc>
          <w:tcPr>
            <w:tcW w:type="dxa" w:w="3000"/>
          </w:tcPr>
          <w:p>
            <w:r>
              <w:t>Numéro d'Identification</w:t>
            </w:r>
          </w:p>
        </w:tc>
        <w:tc>
          <w:tcPr>
            <w:tcW w:type="dxa" w:w="7000"/>
          </w:tcPr>
          <w:p>
            <w:r>
              <w:t>9789961020258</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réglementation géotechnique/ fondation superficielles/ fondations profondes/ </w:t>
            </w:r>
          </w:p>
        </w:tc>
      </w:tr>
    </w:tbl>
    <w:p>
      <w:pPr>
        <w:pStyle w:val="Heading3"/>
      </w:pPr>
      <w:r>
        <w:t>Résumé :</w:t>
      </w:r>
    </w:p>
    <w:p>
      <w:r>
        <w:t>En l'absence d'un référentiel normatif dans le domaine de géotechnique, les acteurs de la construction en Algérie cherchent un référentiel réglementaire en vue de prendre des décisions techniques au cours des différentes phases d’un projet d’ouvrage géotechnique. Ce livre en deux tomes traite de ce sujet complexe qu’est l’apport de la normalisation à la conception, le dimensionnement et la réalisation des ouvrages géotechniques. Son objectif n’est pas de comparer entre les différents règlements géotechniques modernes, mais plutôt de dégager des recommandations pratiques intéressant tous les acteurs de la construction en Algérie, et contribuer ainsi à combler le vide réglementaire en matière d’ingénierie géotechnique. Après un chapitre introductif des différents règlements géotechniques modernes, le livre comporte sept chapitres traitant de la reconnaissance et classification des sols, du dimensionnement des fondations superficielles et profondes, des murs et écrans de soutènement, des murs en remblai renforcé et enfin du calcul parasismique des fondations et soutènements ainsi que de l’analyse du potentiel de liquéfaction sismique. Des exercices résolus issus des cas pratiques y ont été inclus en vue de comparer les différentes méthodes réglementaires et mieux concrétiser les règles énoncées.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