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réglementation géotechnique. T2,murs et écrans de souténement ,calcul parasismique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199-213</w:t>
            </w:r>
          </w:p>
        </w:tc>
      </w:tr>
      <w:tr>
        <w:trPr>
          <w:trHeight w:val="567"/>
        </w:trPr>
        <w:tc>
          <w:tcPr>
            <w:tcW w:type="dxa" w:w="3000"/>
          </w:tcPr>
          <w:p>
            <w:r>
              <w:t>Numéro d'Identification</w:t>
            </w:r>
          </w:p>
        </w:tc>
        <w:tc>
          <w:tcPr>
            <w:tcW w:type="dxa" w:w="7000"/>
          </w:tcPr>
          <w:p>
            <w:r>
              <w:t>9789961020272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mur de souténement/ écran de souténement/ </w:t>
            </w:r>
          </w:p>
        </w:tc>
      </w:tr>
    </w:tbl>
    <w:p>
      <w:pPr>
        <w:pStyle w:val="Heading3"/>
      </w:pPr>
      <w:r>
        <w:t>Résumé :</w:t>
      </w:r>
    </w:p>
    <w:p>
      <w:r>
        <w:t>L’ouvrage sert de guide pratique pour appliquer correctement les principes de la réglementation géotechnique dans le cadre de projets réels, en assurant une meilleure maîtrise des risques liés au sol et un dimensionnement conforme aux standards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