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risques  écologiques  en 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Rebah, M'hamed/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Apic/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9789961769133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évaluation du risque/ écologie/ </w:t>
            </w:r>
          </w:p>
        </w:tc>
      </w:tr>
    </w:tbl>
    <w:p>
      <w:pPr>
        <w:pStyle w:val="Heading3"/>
      </w:pPr>
      <w:r>
        <w:t>Résumé :</w:t>
      </w:r>
    </w:p>
    <w:p>
      <w:r>
        <w:t>Les informations sur les risques écologiques ou naturels que nous lisons, écoutons ou voyons à travers la presse, nous avaient laissé l’impression d’une relative connaissance de la question pour l’Algérie et souvent pour les grands problèmes qui se posent à la planète. Mais ce “ digest ” au quotidien, à l’occasion d’émissions ou des grandes catastrophes, ne joue que son rôle : celui d’alerte. Il faut bien avouer aussi qu’il crée un effet d’illusion : nous croyons savoir à travers ces morceaux détachés de connaissances, quand leur fonction ne consiste qu’à nous fournir un vade-mecum bien insuffisant pour saisir tous les enjeux, leur gravité, leurs origines. Cette illusion finit par nous renvoyer à la quiétude de l’insouciance, une fois passés les frissons de l’angoisse immédiate devant les images ou les mots lus ou entendus…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