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de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D./ Le Brazidec, M./ Nataf, P./ Simon, G./ Trotignon, J-P/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Précis(N°:None)</w:t>
            </w:r>
          </w:p>
        </w:tc>
      </w:tr>
      <w:tr>
        <w:trPr>
          <w:trHeight w:val="567"/>
        </w:trPr>
        <w:tc>
          <w:tcPr>
            <w:tcW w:type="dxa" w:w="3000"/>
          </w:tcPr>
          <w:p>
            <w:r>
              <w:t>Notes Générales</w:t>
            </w:r>
          </w:p>
        </w:tc>
        <w:tc>
          <w:tcPr>
            <w:tcW w:type="dxa" w:w="7000"/>
          </w:tcPr>
          <w:p>
            <w:r>
              <w:t>Index p.p. 212-215</w:t>
            </w:r>
          </w:p>
        </w:tc>
      </w:tr>
      <w:tr>
        <w:trPr>
          <w:trHeight w:val="567"/>
        </w:trPr>
        <w:tc>
          <w:tcPr>
            <w:tcW w:type="dxa" w:w="3000"/>
          </w:tcPr>
          <w:p>
            <w:r>
              <w:t>Numéro d'Identification</w:t>
            </w:r>
          </w:p>
        </w:tc>
        <w:tc>
          <w:tcPr>
            <w:tcW w:type="dxa" w:w="7000"/>
          </w:tcPr>
          <w:p>
            <w:r>
              <w:t>2091785288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genie civil/ norme construction/ </w:t>
            </w:r>
          </w:p>
        </w:tc>
      </w:tr>
    </w:tbl>
    <w:p>
      <w:pPr>
        <w:pStyle w:val="Heading3"/>
      </w:pPr>
      <w:r>
        <w:t>Résumé :</w:t>
      </w:r>
    </w:p>
    <w:p>
      <w:r>
        <w:t>Cet ouvrage constitue une synthèse structurée des concepts fondamentaux nécessaires à la compréhension, à la modélisation et au dimensionnement des structures de génie civil dans le cadre normatif contemporain, notamment celui des Eurocodes. Il explicite d’abord les principes théoriques de la résistance des matériaux et de la mécanique des structures, en les articulant avec les méthodes de modélisation propres aux éléments porteurs des ouvrages en béton, acier et bois. La démarche proposée repose sur une intégration systématique des exigences réglementaires, depuis la définition des sollicitations et la répartition des charges jusqu’aux vérifications de résistance, de stabilité et de service. L’ouvrage met en évidence la liaison entre approche scientifique, contraintes normatives et choix technologiques, tout en illustrant les procédures de calcul par des exemples applicatifs représentatifs de situations réelles (ouvrages courants, parkings, structures parasismiques). En combinant rigueur théorique, méthodologie de projet et mise en œuvre pratique, il constitue une référence académique pour les étudiants, enseignants et ingénieurs souhaitant maîtriser les fondements et les pratiques actuelles du dimensionnement des structures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