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d'arboriculture fruitière.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Calvet, Charles/ Guirbal,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d'enseignement agricole(N°:None)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2700800877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Arboriculture fruitière/ </w:t>
            </w:r>
          </w:p>
        </w:tc>
      </w:tr>
    </w:tbl>
    <w:p>
      <w:pPr>
        <w:pStyle w:val="Heading3"/>
      </w:pPr>
      <w:r>
        <w:t>Résumé :</w:t>
      </w:r>
    </w:p>
    <w:p>
      <w:r>
        <w:t>Ce manuel est conçu pour les élèves des établissements d’enseignement agricole et horticole. Il offre une approche complète de l’arboriculture fruitière, en combinant théorie et pratique. Le livre couvre :* Les **principes généraux de l’arboriculture**, incluant la physiologie des arbres fruitiers, leur croissance et développement.</w:t>
        <w:br/>
        <w:br/>
        <w:t>* Les **techniques de plantation et de multiplication** : choix des espèces, greffage, semis, bouturage.</w:t>
        <w:br/>
        <w:br/>
        <w:t>* La **gestion des vergers** : taille, éclaircissage, irrigation, fertilisation et protection phytosanitaire.</w:t>
        <w:br/>
        <w:br/>
        <w:t>* La **prévention et traitement des maladies et ravageurs** spécifiques aux différents types d’arbres fruitiers.</w:t>
        <w:br/>
        <w:br/>
        <w:t>* L’**organisation du verger et la planification des récoltes** pour optimiser la production et la qualité des fruits.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