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Nicklin, Jane/ Graeme-Cook, Kate/ Paget, Tim/ Killington, Richard/ </w:t>
            </w:r>
          </w:p>
        </w:tc>
      </w:tr>
      <w:tr>
        <w:trPr>
          <w:trHeight w:val="567"/>
        </w:trPr>
        <w:tc>
          <w:tcPr>
            <w:tcW w:type="dxa" w:w="3000"/>
          </w:tcPr>
          <w:p>
            <w:r>
              <w:t>Adresse bib.</w:t>
            </w:r>
          </w:p>
        </w:tc>
        <w:tc>
          <w:tcPr>
            <w:tcW w:type="dxa" w:w="7000"/>
          </w:tcPr>
          <w:p>
            <w:r>
              <w:t xml:space="preserve">Berti/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L'essentiel en(N°:None)</w:t>
            </w:r>
          </w:p>
        </w:tc>
      </w:tr>
      <w:tr>
        <w:trPr>
          <w:trHeight w:val="567"/>
        </w:trPr>
        <w:tc>
          <w:tcPr>
            <w:tcW w:type="dxa" w:w="3000"/>
          </w:tcPr>
          <w:p>
            <w:r>
              <w:t>Notes Générales</w:t>
            </w:r>
          </w:p>
        </w:tc>
        <w:tc>
          <w:tcPr>
            <w:tcW w:type="dxa" w:w="7000"/>
          </w:tcPr>
          <w:p>
            <w:r>
              <w:t>Bibliogr. p.p. 355.358. Index p.p. 359-362</w:t>
            </w:r>
          </w:p>
        </w:tc>
      </w:tr>
      <w:tr>
        <w:trPr>
          <w:trHeight w:val="567"/>
        </w:trPr>
        <w:tc>
          <w:tcPr>
            <w:tcW w:type="dxa" w:w="3000"/>
          </w:tcPr>
          <w:p>
            <w:r>
              <w:t>Numéro d'Identification</w:t>
            </w:r>
          </w:p>
        </w:tc>
        <w:tc>
          <w:tcPr>
            <w:tcW w:type="dxa" w:w="7000"/>
          </w:tcPr>
          <w:p>
            <w:r>
              <w:t>2911808150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virus/ pathogénie/ </w:t>
            </w:r>
          </w:p>
        </w:tc>
      </w:tr>
    </w:tbl>
    <w:p>
      <w:pPr>
        <w:pStyle w:val="Heading3"/>
      </w:pPr>
      <w:r>
        <w:t>Résumé :</w:t>
      </w:r>
    </w:p>
    <w:p>
      <w:r>
        <w:t>Cet ouvrage apporte aux étudiants toutes les informations clés dont ils ont besoin pour comprendre la microbiologie durant le premier cycle universitaire. Cet ouvrage fournit une approche structurée d'apprentissage en couvrant tous les thèmes importants dans un format uniforme et méthodique. Chaque chapitre débute par un résumé des faits essentiels - mémo idéal pour les révisions - suivi d'explications détaillées et de schémas clairs et simples. Les schémas sont particulièrement faciles à comprendre et à reproduire lors des exposés ou des examens. Si vous étudiez la Microbiologie, si vous en avez assez de perdre votre temps à fouiller à l'intérieur de textes massifs et souffrez d'une surcharge informative, l'Essentiel en Microbiologie est le compagnon dont vous avez besoin pour comprendre la matière, assimiler votre cours et réussir vos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