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Communay, Pierre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Groupe de recherche et d'édition/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439-493. Index p.p. 497-503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2841390330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écoulement laminaire/ conservation de la masse/ </w:t>
            </w:r>
          </w:p>
        </w:tc>
      </w:tr>
    </w:tbl>
    <w:p>
      <w:pPr>
        <w:pStyle w:val="Heading3"/>
      </w:pPr>
      <w:r>
        <w:t>Résumé :</w:t>
      </w:r>
    </w:p>
    <w:p>
      <w:r>
        <w:t>Cet ouvrage  offre une approche intégrée de la mécanique des fluides, alliant théorie et applications pratiques, et vise à fournir aux lecteurs une compréhension approfondie des concepts qui régissent le comportement des fluides dans divers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