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V1, analyse des structures et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Frey, François/ Walther, René/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250-254</w:t>
            </w:r>
          </w:p>
        </w:tc>
      </w:tr>
      <w:tr>
        <w:trPr>
          <w:trHeight w:val="567"/>
        </w:trPr>
        <w:tc>
          <w:tcPr>
            <w:tcW w:type="dxa" w:w="3000"/>
          </w:tcPr>
          <w:p>
            <w:r>
              <w:t>Numéro d'Identification</w:t>
            </w:r>
          </w:p>
        </w:tc>
        <w:tc>
          <w:tcPr>
            <w:tcW w:type="dxa" w:w="7000"/>
          </w:tcPr>
          <w:p>
            <w:r>
              <w:t>2880741742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analyse de structure/ statique appliquée/ </w:t>
            </w:r>
          </w:p>
        </w:tc>
      </w:tr>
    </w:tbl>
    <w:p>
      <w:pPr>
        <w:pStyle w:val="Heading3"/>
      </w:pPr>
      <w:r>
        <w:t>Résumé :</w:t>
      </w:r>
    </w:p>
    <w:p>
      <w:r>
        <w:t>L'analyse des structures et milieux continus, discipline fondamentale pour l'ingénieur, intervient tant dans la conception d'un ouvrage que dans son calcul détaillé. la statique appliquée en constitue la base, en méme  temps qu'une réelle initiation à l'art de construire.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