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Paultre, Patrick/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702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Génie civil(N°:None)</w:t>
            </w:r>
          </w:p>
        </w:tc>
      </w:tr>
      <w:tr>
        <w:trPr>
          <w:trHeight w:val="567"/>
        </w:trPr>
        <w:tc>
          <w:tcPr>
            <w:tcW w:type="dxa" w:w="3000"/>
          </w:tcPr>
          <w:p>
            <w:r>
              <w:t>Notes Générales</w:t>
            </w:r>
          </w:p>
        </w:tc>
        <w:tc>
          <w:tcPr>
            <w:tcW w:type="dxa" w:w="7000"/>
          </w:tcPr>
          <w:p>
            <w:r>
              <w:t>Bibliogr. p.p. 685-691. Index</w:t>
            </w:r>
          </w:p>
        </w:tc>
      </w:tr>
      <w:tr>
        <w:trPr>
          <w:trHeight w:val="567"/>
        </w:trPr>
        <w:tc>
          <w:tcPr>
            <w:tcW w:type="dxa" w:w="3000"/>
          </w:tcPr>
          <w:p>
            <w:r>
              <w:t>Numéro d'Identification</w:t>
            </w:r>
          </w:p>
        </w:tc>
        <w:tc>
          <w:tcPr>
            <w:tcW w:type="dxa" w:w="7000"/>
          </w:tcPr>
          <w:p>
            <w:r>
              <w:t>2746208938</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 Dynamique/ dynamique de structure/ </w:t>
            </w:r>
          </w:p>
        </w:tc>
      </w:tr>
    </w:tbl>
    <w:p>
      <w:pPr>
        <w:pStyle w:val="Heading3"/>
      </w:pPr>
      <w:r>
        <w:t>Résumé :</w:t>
      </w:r>
    </w:p>
    <w:p>
      <w:r>
        <w:t>Cet ouvrage traitant de la dynamique des structures se caractérise par son approche théorique et algorithmique, combinée à de nombreux exemples d'application. Il s'intéresse d'abord aux systèmes à un degré de liberté comprenant aussi les systèmes complexes pouvant se ramener à des systèmes à un seul degré de liberté. Il traite ensuite des systèmes à plusieurs degrés de liberté pour lesquels la résolution des problèmes fait appel à la méthode des éléments finis. La résolution des problèmes se fait dans les domaines du temps et des fréquences dans les espaces géométrique ou modal. Les charges sismiques reçoivent un traitement particulier sur deux chapitres. Ce texte a servi à l'enseignement du cours de dynamique des structures aux étudiants des grades supérieurs de l'université de Sherbrooke, et pendant de nombreuses années, aux étudiants de L'École normale supérieure de Cachan pour les étudiants du DEA-MAISE et du laboratoire de mécanique et technologie. Le texte est aussi utilisé dans l'enseignement de la dynamique des structures aux étudiants de la maîtrise en génie civil et infrastructure de l'IUP de Grenoble et aux étudiants de l'école doctorale de l'université Joseph Fourier à Grenoble.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