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Aquaculture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Miner, Marie-Christine/ Kempf, Marc/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2844330169</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Élevage des poissons et des vertébrés à sang froid/ </w:t>
            </w:r>
          </w:p>
        </w:tc>
      </w:tr>
      <w:tr>
        <w:trPr>
          <w:trHeight w:val="567"/>
        </w:trPr>
        <w:tc>
          <w:tcPr>
            <w:tcW w:type="dxa" w:w="3000"/>
          </w:tcPr>
          <w:p>
            <w:r>
              <w:t>Sujet(s)</w:t>
            </w:r>
          </w:p>
        </w:tc>
        <w:tc>
          <w:tcPr>
            <w:tcW w:type="dxa" w:w="7000"/>
          </w:tcPr>
          <w:p>
            <w:r>
              <w:t xml:space="preserve">Mariculture/ environnement/ </w:t>
            </w:r>
          </w:p>
        </w:tc>
      </w:tr>
    </w:tbl>
    <w:p>
      <w:pPr>
        <w:pStyle w:val="Heading3"/>
      </w:pPr>
      <w:r>
        <w:t>Résumé :</w:t>
      </w:r>
    </w:p>
    <w:p>
      <w:r>
        <w:t>Les principales conclusions, sur les contraintes juridiques, l'état des connaissances scientifiques et techniques, et leur incidences sur la vie des entreprises piscicoles en France, sont de quatre ordres : le constat d'une maîtrise de plus en plus grande de l'aquaculture; un effort de réflexion sur une meilleure insertion de cette activité dans les programmes d'aménagement du littoral, un besoin d'information au niveau local et régional et enfin des pistes d'action. Ces conclusions sont résumées dans une synthèse générale, suivi d'une quinzaine de communications regroupées par grands thèmes : Cadre technique, économique et réglementaire; Aquaculture et aménagement du littoral; Prévention et contrôle de l'impact sur l'environnement; Expérience des principaux pays producteurs européens.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