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21st-century Japanese management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Abegglen, James C/ </w:t>
            </w:r>
          </w:p>
        </w:tc>
      </w:tr>
      <w:tr>
        <w:trPr>
          <w:trHeight w:val="567"/>
        </w:trPr>
        <w:tc>
          <w:tcPr>
            <w:tcW w:type="dxa" w:w="3000"/>
          </w:tcPr>
          <w:p>
            <w:r>
              <w:t>Adresse bib.</w:t>
            </w:r>
          </w:p>
        </w:tc>
        <w:tc>
          <w:tcPr>
            <w:tcW w:type="dxa" w:w="7000"/>
          </w:tcPr>
          <w:p>
            <w:r>
              <w:t xml:space="preserve">Palgrave macmillan/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9781403998767</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style de gestion japonais/ économie japonaise/ </w:t>
            </w:r>
          </w:p>
        </w:tc>
      </w:tr>
    </w:tbl>
    <w:p>
      <w:pPr>
        <w:pStyle w:val="Heading3"/>
      </w:pPr>
      <w:r>
        <w:t>Résumé :</w:t>
      </w:r>
    </w:p>
    <w:p>
      <w:r>
        <w:t>Japan's economy and businesses are entering this century with new management systems but their values unchanged. Drawing on the author's analysis of the 1950s, financial systems, personnel management methods, role of the corporation and R&amp;D capabilities are re-assessed to provide a comprehensive analysis of Japan's financial and industrial changes.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