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Aquaculture, environment and marine phytoplankton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Arzul, Geneviève/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247 p.</w:t>
            </w:r>
          </w:p>
        </w:tc>
      </w:tr>
      <w:tr>
        <w:trPr>
          <w:trHeight w:val="567"/>
        </w:trPr>
        <w:tc>
          <w:tcPr>
            <w:tcW w:type="dxa" w:w="3000"/>
          </w:tcPr>
          <w:p>
            <w:r>
              <w:t>Illustration</w:t>
            </w:r>
          </w:p>
        </w:tc>
        <w:tc>
          <w:tcPr>
            <w:tcW w:type="dxa" w:w="7000"/>
          </w:tcPr>
          <w:p>
            <w:r>
              <w:t>ill., couv. ill.</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284433072X</w:t>
            </w:r>
          </w:p>
        </w:tc>
      </w:tr>
      <w:tr>
        <w:trPr>
          <w:trHeight w:val="567"/>
        </w:trPr>
        <w:tc>
          <w:tcPr>
            <w:tcW w:type="dxa" w:w="3000"/>
          </w:tcPr>
          <w:p>
            <w:r>
              <w:t>Thème</w:t>
            </w:r>
          </w:p>
        </w:tc>
        <w:tc>
          <w:tcPr>
            <w:tcW w:type="dxa" w:w="7000"/>
          </w:tcPr>
          <w:p>
            <w:r>
              <w:t>Elevage des poissons et des vertebrés</w:t>
            </w:r>
          </w:p>
        </w:tc>
      </w:tr>
      <w:tr>
        <w:trPr>
          <w:trHeight w:val="567"/>
        </w:trPr>
        <w:tc>
          <w:tcPr>
            <w:tcW w:type="dxa" w:w="3000"/>
          </w:tcPr>
          <w:p>
            <w:r>
              <w:t>Classification(s)</w:t>
            </w:r>
          </w:p>
        </w:tc>
        <w:tc>
          <w:tcPr>
            <w:tcW w:type="dxa" w:w="7000"/>
          </w:tcPr>
          <w:p>
            <w:r>
              <w:t xml:space="preserve">Élevage des poissons et des vertébrés à sang froid/ </w:t>
            </w:r>
          </w:p>
        </w:tc>
      </w:tr>
      <w:tr>
        <w:trPr>
          <w:trHeight w:val="567"/>
        </w:trPr>
        <w:tc>
          <w:tcPr>
            <w:tcW w:type="dxa" w:w="3000"/>
          </w:tcPr>
          <w:p>
            <w:r>
              <w:t>Sujet(s)</w:t>
            </w:r>
          </w:p>
        </w:tc>
        <w:tc>
          <w:tcPr>
            <w:tcW w:type="dxa" w:w="7000"/>
          </w:tcPr>
          <w:p>
            <w:r>
              <w:t xml:space="preserve">Pisciculture/ </w:t>
            </w:r>
          </w:p>
        </w:tc>
      </w:tr>
    </w:tbl>
    <w:p>
      <w:pPr>
        <w:pStyle w:val="Heading3"/>
      </w:pPr>
      <w:r>
        <w:t>Résumé :</w:t>
      </w:r>
    </w:p>
    <w:p>
      <w:r>
        <w:t>Le livre  Aquaculture, Environment and Marine Phytoplankton – Proceedings of a Symposium held in Brest, 21–23 May 2001 présente les résultats et discussions d’un symposium international consacré aux interactions entre l’aquaculture et l’environnement marin , en particulier le rôle et la dynamique du phytoplancton. Les contributions abordent lesimpacts écologiques des élevages marins, les mécanismes de régulation de la production primaire, les effets des nutriments et des rejets aquacoles sur les écosystèmes côtiers, ainsi que les méthodes de surveillance et de modélisation du phytoplancton. L’ouvrage met en lumière l’importance d’un équilibre durable entre développement aquacole et préservation des écosystèmes marins.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