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III-V heterostructures for electronic/photo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Tu, C.W./ Mattera, V D/ Gossard, A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Materials Research society/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1558990186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and optical/ metalorganic chemical/ </w:t>
            </w:r>
          </w:p>
        </w:tc>
      </w:tr>
    </w:tbl>
    <w:p>
      <w:pPr>
        <w:pStyle w:val="Heading3"/>
      </w:pPr>
      <w:r>
        <w:t>Résumé :</w:t>
      </w:r>
    </w:p>
    <w:p>
      <w:r>
        <w:t>III–V semiconductors (such as GaAs, InP, InGaAs, etc.) enable the formation of heterostructures — stacks of different material layers with distinct energy bands, lattice constants, or optical properties — allowing precise control over electronic and optical characteristics in devices.</w:t>
        <w:br/>
        <w:br/>
        <w:t>In the electronic domain, these heterostructures make it possible to create high-mobility channels, well-defined potential barriers, and quantum wells, which enhance the performance of transistors, diodes, integrated lasers, and other components.</w:t>
        <w:br/>
        <w:br/>
        <w:t>In photonic or photo-electronic applications, III–V heterostructures play a major role: they allow fine-tuning of the band gap and band alignment to optimize light absorption, emission, or photoelectric conversion (e.g., solar cells, photodetectors, optical sources).</w:t>
        <w:br/>
        <w:br/>
        <w:t>Moreover, heterogeneous integration (for example, combining III–V materials with silicon) and structures such as quantum wells, quantum dots, or nanowires open new possibilities for compact, multifunctional, high-density devices</w:t>
        <w:br/>
        <w:br/>
        <w:br/>
        <w:br/>
        <w:t>III–V semiconductors (such as GaAs, InP, InGaAs, etc.) enable the formation of heterostructures — stacks of different material layers with distinct energy bands, lattice constants, or optical properties — allowing precise control over electronic and optical characteristics in devices.</w:t>
        <w:br/>
        <w:br/>
        <w:t>In the electronic domain, these heterostructures make it possible to create high-mobility channels, well-defined potential barriers, and quantum wells, which enhance the performance of transistors, diodes, integrated lasers, and other components.</w:t>
        <w:br/>
        <w:br/>
        <w:t>In photonic or photo-electronic applications, III–V heterostructures play a major role: they allow fine-tuning of the band gap and band alignment to optimize light absorption, emission, or photoelectric conversion (e.g., solar cells, photodetectors, optical sources).</w:t>
        <w:br/>
        <w:br/>
        <w:t>Moreover, heterogeneous integration (for example, combining III–V materials with silicon) and structures such as quantum wells, quantum dots, or nanowires open new possibilities for compact, multifunctional, high-density devices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