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commande des moteurs triphasés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Sturtzer, Guy/ Smigiel, Eddie/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272980076x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asynchrone/ modélisation dynamique/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Niveau C (compléments) </w:t>
        <w:br/>
        <w:br/>
        <w:t xml:space="preserve">la commande des moteurs triphasés est traitée dans un ouvrage de synthèse interdisciplinaire : </w:t>
        <w:br/>
        <w:br/>
        <w:t xml:space="preserve">• la modélisation des moteurs synchrones et asynchrones est étudiée à partir des notions physiques et technologiques de base. </w:t>
        <w:br/>
        <w:br/>
        <w:t xml:space="preserve">• les stratégies de commande en sont déduites pour les moteurs synchrones, notamment avec contrôles scalaires et vectoriels. </w:t>
        <w:br/>
        <w:br/>
        <w:t xml:space="preserve">• une approche pratique, illustrée par des associations convertisseurs-machines, complète l'étude théorique. sont notamment présentées les structures de puissance et les moteurs alimentés par onduleurs de courants, onduleurs de tensions ou cycloconvertisseurs. </w:t>
        <w:br/>
        <w:br/>
        <w:t>sont enfin étudiées les structures des contrôleurs dsp et développés des exemples concrets d'algorithmes et d'implémentations de commandes numériques. les structures et les implémentations sont présentées à partir de la gamme des produits texas instruments.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