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Productions fruitières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Guihéneuf, Yves/ </w:t>
            </w:r>
          </w:p>
        </w:tc>
      </w:tr>
      <w:tr>
        <w:trPr>
          <w:trHeight w:val="567"/>
        </w:trPr>
        <w:tc>
          <w:tcPr>
            <w:tcW w:type="dxa" w:w="3000"/>
          </w:tcPr>
          <w:p>
            <w:r>
              <w:t>Adresse bib.</w:t>
            </w:r>
          </w:p>
        </w:tc>
        <w:tc>
          <w:tcPr>
            <w:tcW w:type="dxa" w:w="7000"/>
          </w:tcPr>
          <w:p>
            <w:r>
              <w:t xml:space="preserve">Synthèse agricole/ </w:t>
            </w:r>
          </w:p>
        </w:tc>
      </w:tr>
      <w:tr>
        <w:trPr>
          <w:trHeight w:val="567"/>
        </w:trPr>
        <w:tc>
          <w:tcPr>
            <w:tcW w:type="dxa" w:w="3000"/>
          </w:tcPr>
          <w:p>
            <w:r>
              <w:t>Nombre de Pages</w:t>
            </w:r>
          </w:p>
        </w:tc>
        <w:tc>
          <w:tcPr>
            <w:tcW w:type="dxa" w:w="7000"/>
          </w:tcPr>
          <w:p>
            <w:r>
              <w:t>276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Références(N°:None)</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2910340236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Arboriculture fruitière/ Industrie et commerce/ Fruits/ </w:t>
            </w:r>
          </w:p>
        </w:tc>
      </w:tr>
    </w:tbl>
    <w:p>
      <w:pPr>
        <w:pStyle w:val="Heading3"/>
      </w:pPr>
      <w:r>
        <w:t>Résumé :</w:t>
      </w:r>
    </w:p>
    <w:p>
      <w:r>
        <w:t>La mise en place, depuis 1997, au sein de l'Union Européenne de la nouvelle Organisation Commune des Marchés, ainsi que la restructuration de l'Organisation Economique des Producteurs qui en découle, entraînent une évolution importante de la filière fruits. L'orientation vers une production fruitière intégrée s'inscrit dans une démarche globale devant satisfaire à la fois les aspirations de rentabilité économique des producteurs, la demande des consommateurs en matière de qualité et traçabilité et la protection de notre environnement. Cet ouvrage rassemble sous une forme synthétique, les connaissances techniques et économiques concernant les espèces fruitières à pépins, à noyau et à coque.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