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forêt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Galochet, Marc/ </w:t>
            </w:r>
          </w:p>
        </w:tc>
      </w:tr>
      <w:tr>
        <w:trPr>
          <w:trHeight w:val="567"/>
        </w:trPr>
        <w:tc>
          <w:tcPr>
            <w:tcW w:type="dxa" w:w="3000"/>
          </w:tcPr>
          <w:p>
            <w:r>
              <w:t>Adresse bib.</w:t>
            </w:r>
          </w:p>
        </w:tc>
        <w:tc>
          <w:tcPr>
            <w:tcW w:type="dxa" w:w="7000"/>
          </w:tcPr>
          <w:p>
            <w:r>
              <w:t xml:space="preserve">Ellipses, impr/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2729825622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sylviculture/ Forêts et bois/ </w:t>
            </w:r>
          </w:p>
        </w:tc>
      </w:tr>
    </w:tbl>
    <w:p>
      <w:pPr>
        <w:pStyle w:val="Heading3"/>
      </w:pPr>
      <w:r>
        <w:t>Résumé :</w:t>
      </w:r>
    </w:p>
    <w:p>
      <w:r>
        <w:t>Très largement façonnée par les hommes au cours de l'histoire, la forêt résulte souvent de nombreuses empreintes passées et de multiples influences historiques, notamment dans sa gestion et son exploitation. Les traces laissées en héritage dans les paysages forestiers en font un véritable accumulateur patrimonial d'histoire et de mémoire. Aujourd'hui, la forêt n'est plus exclusivement considérée comme productive de matière ligneuse, elle doit désormais intégrer dans sa gestion la conservation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