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Nation empire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Chatani, Sayaka/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347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9781501730757</w:t>
            </w:r>
          </w:p>
        </w:tc>
      </w:tr>
      <w:tr>
        <w:trPr>
          <w:trHeight w:val="567"/>
        </w:trPr>
        <w:tc>
          <w:tcPr>
            <w:tcW w:type="dxa" w:w="3000"/>
          </w:tcPr>
          <w:p>
            <w:r>
              <w:t>Classification(s)</w:t>
            </w:r>
          </w:p>
        </w:tc>
        <w:tc>
          <w:tcPr>
            <w:tcW w:type="dxa" w:w="7000"/>
          </w:tcPr>
          <w:p>
            <w:r>
              <w:t xml:space="preserve">305.23/ </w:t>
            </w:r>
          </w:p>
        </w:tc>
      </w:tr>
      <w:tr>
        <w:trPr>
          <w:trHeight w:val="567"/>
        </w:trPr>
        <w:tc>
          <w:tcPr>
            <w:tcW w:type="dxa" w:w="3000"/>
          </w:tcPr>
          <w:p>
            <w:r>
              <w:t>Sujet(s)</w:t>
            </w:r>
          </w:p>
        </w:tc>
        <w:tc>
          <w:tcPr>
            <w:tcW w:type="dxa" w:w="7000"/>
          </w:tcPr>
          <w:p>
            <w:r>
              <w:t xml:space="preserve">Empire japonais/ Idéologie nationale/ </w:t>
            </w:r>
          </w:p>
        </w:tc>
      </w:tr>
    </w:tbl>
    <w:p>
      <w:pPr>
        <w:pStyle w:val="Heading3"/>
      </w:pPr>
      <w:r>
        <w:t>Résumé :</w:t>
      </w:r>
    </w:p>
    <w:p>
      <w:r>
        <w:t>By the end of World War II, hundreds of thousands of young men in the Japanese colonies, in particular Taiwan and Korea, had expressed their loyalty to the empire by volunteering to join the army. Why and how did so many colonial youth become passionate supporters of Japanese imperial nationalism? And what happened to these youth after the war? Nation-Empire investigates these questions by examining the long-term mobilization of youth in the rural peripheries of Japan, Taiwan, and Korea. Personal stories and village histories vividly show youth’s ambitions, emotions, and identities generated in the shifting conditions in each locality. At the same time, Sayaka Chatani unveils an intense ideological mobilization built from diverse contexts—the global rise of youth and agrarian ideals, Japan’s strong drive for assimilation and nationalization, and the complex emotions of younger generations in various remote villages.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