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Supersymmetry in quantum and classical mechanics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Bagchi, Bijan Kumar/ </w:t>
            </w:r>
          </w:p>
        </w:tc>
      </w:tr>
      <w:tr>
        <w:trPr>
          <w:trHeight w:val="567"/>
        </w:trPr>
        <w:tc>
          <w:tcPr>
            <w:tcW w:type="dxa" w:w="3000"/>
          </w:tcPr>
          <w:p>
            <w:r>
              <w:t>Adresse bib.</w:t>
            </w:r>
          </w:p>
        </w:tc>
        <w:tc>
          <w:tcPr>
            <w:tcW w:type="dxa" w:w="7000"/>
          </w:tcPr>
          <w:p>
            <w:r>
              <w:t xml:space="preserve">Chapman &amp; Hall/CRC/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Chapman &amp; Hall/CRC monographs and surveys in pure and applied mathematics(N°:None)</w:t>
            </w:r>
          </w:p>
        </w:tc>
      </w:tr>
      <w:tr>
        <w:trPr>
          <w:trHeight w:val="567"/>
        </w:trPr>
        <w:tc>
          <w:tcPr>
            <w:tcW w:type="dxa" w:w="3000"/>
          </w:tcPr>
          <w:p>
            <w:r>
              <w:t>Numéro d'Identification</w:t>
            </w:r>
          </w:p>
        </w:tc>
        <w:tc>
          <w:tcPr>
            <w:tcW w:type="dxa" w:w="7000"/>
          </w:tcPr>
          <w:p>
            <w:r>
              <w:t>1584881976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supersymmetry/ théorie quantique/ </w:t>
            </w:r>
          </w:p>
        </w:tc>
      </w:tr>
    </w:tbl>
    <w:p>
      <w:pPr>
        <w:pStyle w:val="Heading3"/>
      </w:pPr>
      <w:r>
        <w:t>Résumé :</w:t>
      </w:r>
    </w:p>
    <w:p>
      <w:r>
        <w:t>This book Following Witten's remarkable discovery of the quantum mechanical scheme in which all the salient features of supersymmetry are embedded, SCQM (supersymmetric classical and quantum mechanics) has become a separate area of research . In recent years, progress in this field has been dramatic and the literature continues to grow. Until now, no book has offered an overview of the subject with enough detail to allow readers to become rapidly familiar with its key ideas and methods. Supersymmetry in Classical and Quantum Mechanics offers that overview and summarizes the major developments of the last 15 years. It provides both an up-to-date review of the literature and a detailed exposition of the underlying SCQM principles. For those just beginning in the field, the author presents step-by-step details of most of the computations. For more experienced readers, the treatment includes systematic analyses of more advanced topics, such as quasi- and conditional solvability and the role of supersymmetry in nonlinear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