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Stress oxydant induit par des mixtures de xénobiotiques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Laouabdia Sellami, Meriem/ Berrebbah, Houria/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paramécie/ mitochondrie/ stress oxydant/ </w:t>
            </w:r>
          </w:p>
        </w:tc>
      </w:tr>
    </w:tbl>
    <w:p>
      <w:pPr>
        <w:pStyle w:val="Heading3"/>
      </w:pPr>
      <w:r>
        <w:t>Résumé :</w:t>
      </w:r>
    </w:p>
    <w:p>
      <w:r>
        <w:t>Les éléments métalliques sont dispersés d’une manière permanente dans l’environnement, et du fait de leur persistance, ils peuvent s’accumuler dans les tissus des organismes vivants posant ainsi un problème majeur. Ce travail vise l’évaluation de la toxicité des concentrations croissantes des sels d’Aluminium (Al) et de Chrome (Cr(VI)) sur deux modèles cellulaires alternatifs : Saccharomyces cereviciae et Paramecium sp. Pour cela, nous avons évalué l’impact de ces métaux sur le plan physiologique, biochimique, enzymatique, morphologique et comportemental. Nos résultats mettent en évidence une perturbation de la croissance des deux modèles étudiés suite à l’exposition à l’Al, Cr(VI) et leur mixture. Cet effet inhibiteur est confirmé par les pourcentages de réponses positifs ainsi que par la perturbation des paramètres de croissance (Nombre, Vitesse, Temps de générations). Le suivi des biomarqueurs du stress oxydant indique l’induction de l’activité catalase (CAT) et de l’activité de Glutathion Stransférase (GST) et de l’augmentation du taux du Glutathion (GSH) et de la teneur en Malondialdèhyde (MDA) chez les deux modèles cellulaires révélant ainsi un état de stress oxydant. De plus, les observations microscopiques des cellules valident l’effet des métaux sur l’intégrité cellulaire. Chez les paramécies, ces effets sont accompagnés par une perturbation du mouvement et de la trajectoire. Par ailleurs, les essais sur l’implication des mitochondries dans la toxicité des métaux testés mettent en évidence une perturbation de la production de l’ATP et/ou du métabolisme de l’oxygène après traitement par le Cr(VI) et une altération du coenzyme A 3-ketoacyl CoA thiolase après exposition à l’Al.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