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2224010478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biochimie clinique/ </w:t>
            </w:r>
          </w:p>
        </w:tc>
      </w:tr>
    </w:tbl>
    <w:p>
      <w:pPr>
        <w:pStyle w:val="Heading3"/>
      </w:pPr>
      <w:r>
        <w:t>Résumé :</w:t>
      </w:r>
    </w:p>
    <w:p>
      <w:r>
        <w:t>Objectif de l’ouvrage</w:t>
        <w:br/>
        <w:br/>
        <w:t>Fournir aux biologistes, techniciens de laboratoire et cliniciens une vue d’ensemble des **instruments et techniques d’analyse biochimique** utilisés en diagnostique médico-chirurgical.</w:t>
        <w:br/>
        <w:br/>
        <w:t>Relier les méthodes analytiques aux **syndromes biochimiques et à la **physiopathologie clinique**, afin d’interpréter les résultats de laboratoire dans un contexte médical. ([busnv.univ-saida.</w:t>
        <w:br/>
        <w:br/>
        <w:t>Couvrir à la fois les aspects techniques (appareils, dosages, méthodes) et fonctionnels (explorations d’organes, bilans biologiques). ([pmb.univ-batna.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