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JAPAN, CHINA, and the growth of the asian international economy , 1850-1949 . V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Sugihara, Kaoru/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9780198292715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Économie internationale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Économie internationale/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international economy/ economic history/ industrialization/ </w:t>
            </w:r>
          </w:p>
        </w:tc>
      </w:tr>
    </w:tbl>
    <w:p>
      <w:pPr>
        <w:pStyle w:val="Heading3"/>
      </w:pPr>
      <w:r>
        <w:t>Résumé :</w:t>
      </w:r>
    </w:p>
    <w:p>
      <w:r>
        <w:t>Modern Asian economic history has often been written in terms of Western impact and Asia's response to it. This volume argues that the growth of intra-regional trade, migration, and capital and money flows was a crucial factor that determined the course of East Asian economic development.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