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JAPAN's new regional reality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Katada, Saori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Columbia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9780231190732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Économie internationale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geoeconomics/ economic diplomacy/ </w:t>
            </w:r>
          </w:p>
        </w:tc>
      </w:tr>
    </w:tbl>
    <w:p>
      <w:pPr>
        <w:pStyle w:val="Heading3"/>
      </w:pPr>
      <w:r>
        <w:t>Résumé :</w:t>
      </w:r>
    </w:p>
    <w:p>
      <w:r>
        <w:t>Since the mid-1990s, Japan’s regional economic strategy has transformed. Once characterized by bilateralism, informality, and neomercantilism, Japanese policy has shifted to a new liberal strategy emphasizing regional institution building and rule setting. As two major global powers, China and the United States, wrestle over economic advantages, Japan currently occupies a pivotal position capable of tipping the geoeconomic balance in the region.</w:t>
        <w:br/>
        <w:br/>
        <w:br/>
        <w:br/>
        <w:t>Japan’s New Regional Reality offers a comprehensive analysis of Japan’s geoeconomic strategy that reveals the country’s role in shaping regional economic order in the Asia-Pacific. Saori N. Katada explains Japanese foreign economic policy in light of both international and domestic dynamics. She points out the hurdles to implementing a state-led liberal strategy, detailing how domestic political and institutional changes have been much slower and stickier than the changing regional economics. Katada highlights state-market relations and shows how big businesses have responded to the country’s interventionist policies. The book covers a wide range of economic issues including trade, investment, finance, currency, and foreign aid. Japan’s New Regional Reality is a meticulously researched study of the dynamics that have contributed to economic and political realities in the Asia-Pacific today, with significant implications for future regional trends.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