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Language planning and language change in Japan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Carrol, Tessa/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Routledge Taylor &amp; francis Group/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9780415861601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japonais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Japanese language/ language policy/ sociolinguistics/ </w:t>
            </w:r>
          </w:p>
        </w:tc>
      </w:tr>
    </w:tbl>
    <w:p>
      <w:pPr>
        <w:pStyle w:val="Heading3"/>
      </w:pPr>
      <w:r>
        <w:t>Résumé :</w:t>
      </w:r>
    </w:p>
    <w:p>
      <w:r>
        <w:t>Highlights the shift in language planning and language change in Japan at the end of the 20th century against a background of significant socio-cultural, political, and economic change and places them in a comparative context. Issues investigated include the concept of disorder in language; changes in official language; changing attitudes to regional dialects; and the impact of globalisation and technological advances.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