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des ligands chiraux et leur évaluation pour la réduction de cétones prochirales catalysée par le complexe de ruthénium (II)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Bennamane Sobaihi, Manhel/ Zeror, Saoussen/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catalyse organométallique/ mespilus germanica L./ ruthénium/ </w:t>
            </w:r>
          </w:p>
        </w:tc>
      </w:tr>
    </w:tbl>
    <w:p>
      <w:pPr>
        <w:pStyle w:val="Heading3"/>
      </w:pPr>
      <w:r>
        <w:t>Résumé :</w:t>
      </w:r>
    </w:p>
    <w:p>
      <w:r>
        <w:t>Ce travail de recherche développe des réactions simples et efficaces d’obtention d’alcools énantiomériquement enrichis par différents systèmes catalytiques (organométallique et biocatalyse), dont l’intérêt pharmacologique et l’importance en synthèse organique sont reconnus.</w:t>
        <w:tab/>
        <w:br/>
        <w:br/>
        <w:t>Dans la première partie de ce travail, nous avons comparé l’énantiosélectivité des systèmes catalytiques de ruthénium coordiné avec six ligands de différentes structures, cinq de type proline amide (L1, L3-L6) et l’amino indanol L2 pour la réduction énantiosélective de cétones prochirales dans l’eau. Les résultats obtenus montrent que la réactivité et l’énantiosélectivité de la réaction varient selon la structure du substrat et la nature du ligand utilisé. Les meilleures énantiosélectivités ont été obtenues pour la majorité des cétones étudiées avec le</w:t>
        <w:br/>
        <w:br/>
        <w:t>ligand prolinamide de l’aminoindanol L3. Nous avons également examiné la réduction énantiosélective de différentes cétones aromatiques en présence du complexe de Ru (II) ligandé par l’acide aminé la (L)-proline. D’excellent excès énantiomèriques ont été obtenus pour les cétones aromatiques hétérocycliques à six chainons (ee= 78-91%). Cependant les excès énantiomériques obtenus par la réduction des dérivés de l’acétophénone sont moins bons.</w:t>
        <w:br/>
        <w:br/>
        <w:t>Dans la deuxième partie de la thèse, nous avons mis au point des réactions de réduction énantiosélective de cétones aromatiques avec de nouveaux biocatalyseurs dans l’eau; nèfles (Mespilus germanica L.), mandarine clémentine (Citrus reticulata), arbosier de chypre (Arbutus andrachne L.) et gingembre (Zingiber officinale). Des excellentes puretés optiques ont été obtenues avec des rendements chimiques modérés. La comparaison avec le complexe de ruthénium montre que les deux systèmes catalytiques permettent de réduire différents</w:t>
        <w:br/>
        <w:br/>
        <w:t>substrats avec de bons rendements chimiques et d’excellents excès énantiomériques. Une énantiocomplémentarité des deux systèmes catalytiques a été observée pour toutes les cétones étudiées.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