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Long stange journey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Levine, Gregory P. A./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9780824858056</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zen buddhism/ japanese art/ buddhist modernism/ </w:t>
            </w:r>
          </w:p>
        </w:tc>
      </w:tr>
    </w:tbl>
    <w:p>
      <w:pPr>
        <w:pStyle w:val="Heading3"/>
      </w:pPr>
      <w:r>
        <w:t>Résumé :</w:t>
      </w:r>
    </w:p>
    <w:p>
      <w:r>
        <w:t>Long Strange Journey presents the first critical analysis of visual objects and discourses that animate Zen art modernism and its legacies, with particular emphasis on the postwar “Zen boom.” Since the late nineteenth century, Zen and Zen art have emerged as globally familiar terms associated with a spectrum of practices, beliefs, works of visual art, aesthetic concepts, commercial products, and modes of self-fashioning. They have also been at the center of fiery public disputes that have erupted along national, denominational, racial-ethnic, class, and intellectual lines. Neither stable nor strictly a matter of euphoric religious or intercultural exchange, Zen and Zen art are best approached as productive predicaments in the study of religion, spirituality, art, and consumer culture, especially within the frame of Buddhist modernism.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