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Screening de molécules à activité anti-biofilm et anti- quorum sensing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Djendi, Manel Lina/ Benzaid, Charazed/ </w:t>
            </w:r>
          </w:p>
        </w:tc>
      </w:tr>
      <w:tr>
        <w:trPr>
          <w:trHeight w:val="567"/>
        </w:trPr>
        <w:tc>
          <w:tcPr>
            <w:tcW w:type="dxa" w:w="3000"/>
          </w:tcPr>
          <w:p>
            <w:r>
              <w:t>Nombre de Pages</w:t>
            </w:r>
          </w:p>
        </w:tc>
        <w:tc>
          <w:tcPr>
            <w:tcW w:type="dxa" w:w="7000"/>
          </w:tcPr>
          <w:p>
            <w:r>
              <w:t>201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biofilm/ quorum sensing/ Inula viscosa L./ </w:t>
            </w:r>
          </w:p>
        </w:tc>
      </w:tr>
    </w:tbl>
    <w:p>
      <w:pPr>
        <w:pStyle w:val="Heading3"/>
      </w:pPr>
      <w:r>
        <w:t>Résumé :</w:t>
      </w:r>
    </w:p>
    <w:p>
      <w:r>
        <w:t>La résistance aux antibiotiques représente aujourd'hui un défi majeur de santé publique, largement amplifié par l'usage inapproprié et excessif des agents antimicrobiens. Face à cette menace, les microorganismes déploient divers mécanismes d'adaptation, tels que la formation de biofilms protecteurs et la régulation de la virulence par le biais du Quorum Sensing (QS).</w:t>
        <w:br/>
        <w:br/>
        <w:t>L'inhibition ciblée du QS émerge ainsi comme une stratégie innovante et prometteuse, susceptible de limiter la pathogénicité microbienne sans exercer la pression sélective induite par les antibiotiques conventionnels.</w:t>
        <w:br/>
        <w:br/>
        <w:t>Dans ce contexte, plusieurs agents chimiques et phytochimiques ont démontré leur capacité à perturber les mécanismes de communication cellulaire.</w:t>
        <w:br/>
        <w:br/>
        <w:t xml:space="preserve">Une étude conduite sur des souches microbiennes isolées de dispositifs médicaux a mis en évidence une hétérogénéité marquée des profils de sensibilité aux antimicrobiens. Parmi les composés évalués, la 3-(2-chloroacetyl) oxazolidin-2-one a révélé d’excellentes propriétés antioxydantes et anti-inflammatoires, associées à une inhibition significative de la formation de biofilms bactériens (92,23 %) et fongiques (98,48 %). Ce composé a également induit une réduction notable de la motilité bactérienne et de la production de pigments chez Chromobacterium violaceum et Pseudomonas aeruginosa. </w:t>
        <w:br/>
        <w:br/>
        <w:t>Par ailleurs, l’extrait méthanolique d’Inula viscosa L. a manifesté une activité antimicrobienne appréciable, avec des concentrations minimales inhibitrices (CMI) comprises entre 125 et 500 μg/mL pour les bactéries et entre 7,81 et 250 μg/mL pour les levures. Cet extrait a permis d’inhiber de manière significative la formation de biofilms bactériens (77,79 %) et fongiques (67,43 %), tout en réduisant la motilité bactérienne et la synthèse de pigments. Enfin, les essais d’inhibition du Quorum Sensing en culture duale, réalisés avec Chromobacterium violaceum 31532, Chromobacterium violaceum 026 et Pseudomonas aeruginosa, ont confirmé l’efficacité de ces composés dans la modulation de la communication microbienne. Ces résultats ouvrent des perspectives prometteuses pour le développement de nouvelles approches thérapeutiques ciblant la résistance microbienne.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