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 et écologie des crustacés benthiques (Ostracode et Spinicaudate) dans les écosystèmes aquatiques du Sahara et des Hauts Plateaux algériens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Menail, Aimen Adib/ Amarouayache, Mounia/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574.92/ </w:t>
            </w:r>
          </w:p>
        </w:tc>
      </w:tr>
      <w:tr>
        <w:trPr>
          <w:trHeight w:val="567"/>
        </w:trPr>
        <w:tc>
          <w:tcPr>
            <w:tcW w:type="dxa" w:w="3000"/>
          </w:tcPr>
          <w:p>
            <w:r>
              <w:t>Sujet(s)</w:t>
            </w:r>
          </w:p>
        </w:tc>
        <w:tc>
          <w:tcPr>
            <w:tcW w:type="dxa" w:w="7000"/>
          </w:tcPr>
          <w:p>
            <w:r>
              <w:t xml:space="preserve">crustacé benthique/ phylogénie/ taxonomie/ </w:t>
            </w:r>
          </w:p>
        </w:tc>
      </w:tr>
    </w:tbl>
    <w:p>
      <w:pPr>
        <w:pStyle w:val="Heading3"/>
      </w:pPr>
      <w:r>
        <w:t>Résumé :</w:t>
      </w:r>
    </w:p>
    <w:p>
      <w:r>
        <w:t>Biodiversité et écologie des crustacés benthiques (Ostracode et Spinicaudate) dans les écosystèmes aquatiques du Sahara et des Hauts Plateaux algériens. Cette étude est une contribution à la connaissance de la biodiversité des crustacés non malacostracés des eaux continentales d’Algérie. Elle concerne plus précisément les groupes benthiques bivalves ostracodes et spinicaudates des zones arides et semi-arides. Entre les années 2017 et 2022, 180 plans d'eau ont été échantillonnés à travers 18 Wilayas du Sahara et les Hauts Plateaux algériens. Les paramètres physico-chimiques (salinité, température et pH) ont été mesurés, et les coordonnées des sites, leurs surfaces et altitudes ont également été relevées. Sur les 180 sites, seulement 62 abritaient des ostracodes et deux sites abritaient des spinicaudates. Au total, 27 espèces d'ostracodes ont été identifiées, appartenant à 4 familles différentes (Darwinulidae, Ilyocyprididae, Cyprididae et Cytherideidae). Quatre espèces sont nouvelles pour l’Algérie, l’Afrique du nord ou l’Afrique en générale (Darwinula stevensoni, Oncocypris muelleri, Candelacypris aragonica et Trajancypris laevis) et deux sont nouvelles pour la science : Psychrodromus sp 1 et P. sp 2. Le nombre total d’ostracodes d’Algérie s’est élevé à 63 espèces. En plus de la liste utile des ostracodes d’Algérie, les photographies au microscope électronique à balayage sont fournies. Cyprididae est la famille dominante, représentant 76 % de la totalité des espèces. Heterocypris incongruens est l’espèce la plus fréquente. Plus de 40 % des espèces identifiées ont une distribution à la fois paléarctique et afrotropicale. Les oueds étaient les plus riches en espèces, en effet, ces milieux lotiques éphémères sont des lieux de concentration de la biodiversité. Afin d'évaluer la relation entre la distribution des ostracodes et les paramètres environnementaux, une analyse canonique des correspondances (ACC) a été réalisée. Elle a permis de regrouper les espèces selon leurs préférences limnologiques. Les prospections ont également permis le premier signalement de la famille des limnadidés (Spinicaudates) représentée par l’espèce Eulimnadia rogersi. Il s’agit du deuxième signalement après sa première description de Mauritanie. L’espèce a été identifiée grâce à des études morphologique et phylogénétique des adultes ainsi que les observations au microscope électronique à balayage des œufs de résistance (structures externe et interne). L’analyse phylogénétique a montré que la population d’Algérie était incluse dans le même clade que celle de Mauritanie. Globalement, la biodiversité des milieux continentaux algériens est loin d’être totalement connue et de nouvelles découvertes sont à prévoir. De nouvelles campagnes d’échantillonnages couvrant plus particulièrement la région sud ouest, notamment la Saoura, sont nécessaires afin de compléter la liste des crustacés non malacostracés.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