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Embryologie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Dudek, Ronald W./ Renou, Guy/ Pigot-Renou, Danièle/ </w:t>
            </w:r>
          </w:p>
        </w:tc>
      </w:tr>
      <w:tr>
        <w:trPr>
          <w:trHeight w:val="567"/>
        </w:trPr>
        <w:tc>
          <w:tcPr>
            <w:tcW w:type="dxa" w:w="3000"/>
          </w:tcPr>
          <w:p>
            <w:r>
              <w:t>Adresse bib.</w:t>
            </w:r>
          </w:p>
        </w:tc>
        <w:tc>
          <w:tcPr>
            <w:tcW w:type="dxa" w:w="7000"/>
          </w:tcPr>
          <w:p>
            <w:r>
              <w:t xml:space="preserve">Éditions Pradel/ </w:t>
            </w:r>
          </w:p>
        </w:tc>
      </w:tr>
      <w:tr>
        <w:trPr>
          <w:trHeight w:val="567"/>
        </w:trPr>
        <w:tc>
          <w:tcPr>
            <w:tcW w:type="dxa" w:w="3000"/>
          </w:tcPr>
          <w:p>
            <w:r>
              <w:t>Nombre de Pages</w:t>
            </w:r>
          </w:p>
        </w:tc>
        <w:tc>
          <w:tcPr>
            <w:tcW w:type="dxa" w:w="7000"/>
          </w:tcPr>
          <w:p>
            <w:r>
              <w:t>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Réussir le PCEM 1(N°:None)</w:t>
            </w:r>
          </w:p>
        </w:tc>
      </w:tr>
      <w:tr>
        <w:trPr>
          <w:trHeight w:val="567"/>
        </w:trPr>
        <w:tc>
          <w:tcPr>
            <w:tcW w:type="dxa" w:w="3000"/>
          </w:tcPr>
          <w:p>
            <w:r>
              <w:t>Notes Générales</w:t>
            </w:r>
          </w:p>
        </w:tc>
        <w:tc>
          <w:tcPr>
            <w:tcW w:type="dxa" w:w="7000"/>
          </w:tcPr>
          <w:p>
            <w:r>
              <w:t>Index p.p 65-67</w:t>
            </w:r>
          </w:p>
        </w:tc>
      </w:tr>
      <w:tr>
        <w:trPr>
          <w:trHeight w:val="567"/>
        </w:trPr>
        <w:tc>
          <w:tcPr>
            <w:tcW w:type="dxa" w:w="3000"/>
          </w:tcPr>
          <w:p>
            <w:r>
              <w:t>Numéro d'Identification</w:t>
            </w:r>
          </w:p>
        </w:tc>
        <w:tc>
          <w:tcPr>
            <w:tcW w:type="dxa" w:w="7000"/>
          </w:tcPr>
          <w:p>
            <w:r>
              <w:t>2913996132</w:t>
            </w:r>
          </w:p>
        </w:tc>
      </w:tr>
      <w:tr>
        <w:trPr>
          <w:trHeight w:val="567"/>
        </w:trPr>
        <w:tc>
          <w:tcPr>
            <w:tcW w:type="dxa" w:w="3000"/>
          </w:tcPr>
          <w:p>
            <w:r>
              <w:t>Thème</w:t>
            </w:r>
          </w:p>
        </w:tc>
        <w:tc>
          <w:tcPr>
            <w:tcW w:type="dxa" w:w="7000"/>
          </w:tcPr>
          <w:p>
            <w:r>
              <w:t>Embryologie</w:t>
            </w:r>
          </w:p>
        </w:tc>
      </w:tr>
      <w:tr>
        <w:trPr>
          <w:trHeight w:val="567"/>
        </w:trPr>
        <w:tc>
          <w:tcPr>
            <w:tcW w:type="dxa" w:w="3000"/>
          </w:tcPr>
          <w:p>
            <w:r>
              <w:t>Classification(s)</w:t>
            </w:r>
          </w:p>
        </w:tc>
        <w:tc>
          <w:tcPr>
            <w:tcW w:type="dxa" w:w="7000"/>
          </w:tcPr>
          <w:p>
            <w:r>
              <w:t xml:space="preserve">Physiologie humaine et sujets connexes/ </w:t>
            </w:r>
          </w:p>
        </w:tc>
      </w:tr>
      <w:tr>
        <w:trPr>
          <w:trHeight w:val="567"/>
        </w:trPr>
        <w:tc>
          <w:tcPr>
            <w:tcW w:type="dxa" w:w="3000"/>
          </w:tcPr>
          <w:p>
            <w:r>
              <w:t>Sujet(s)</w:t>
            </w:r>
          </w:p>
        </w:tc>
        <w:tc>
          <w:tcPr>
            <w:tcW w:type="dxa" w:w="7000"/>
          </w:tcPr>
          <w:p>
            <w:r>
              <w:t xml:space="preserve">zygote/ morula/ morphogenèse/ </w:t>
            </w:r>
          </w:p>
        </w:tc>
      </w:tr>
    </w:tbl>
    <w:p>
      <w:pPr>
        <w:pStyle w:val="Heading3"/>
      </w:pPr>
      <w:r>
        <w:t>Résumé :</w:t>
      </w:r>
    </w:p>
    <w:p>
      <w:r>
        <w:t>Le livre est destiné aux étudiants en 1ʳᵉ année de médecine (« PCEM 1 ») ou équivalent, ayant déjà une base en embryologie. Il cible principalement les structures embryologiques dont vont dériver les structures adultes ou les reliquats, ainsi que les malformations congénitales.  Il contient de nombreux tableaux de synthèse, des illustrations (noir et blanc) et des corrélations cliniques.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