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solides rigides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Berthelot,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9782743009083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solide/ dynamiques/ </w:t>
            </w:r>
          </w:p>
        </w:tc>
      </w:tr>
    </w:tbl>
    <w:p>
      <w:pPr>
        <w:pStyle w:val="Heading3"/>
      </w:pPr>
      <w:r>
        <w:t>Résumé :</w:t>
      </w:r>
    </w:p>
    <w:p>
      <w:r>
        <w:t>Ce manuel apporte aux concepteurs tous les éléments indispensables à l'analyse - de manière complète et structurée - du comportement mécanique des systèmes complexes de solides.</w:t>
        <w:br/>
        <w:br/>
        <w:br/>
        <w:br/>
        <w:t>De par son formalisme, Mécanique des solides rigides développe une approche unifiée des problèmes de mécanique en s'appuyant sur une utilisation généralisée du concept de torseur .</w:t>
        <w:br/>
        <w:br/>
        <w:br/>
        <w:br/>
        <w:t>Après une première partie consacrée à la présentation des éléments mathématiques nécessaires, l'auteur structure son exposé selon quatre parties de difficulté croissante afin d'en permettre une meilleure assimilation. Des exemples et exercices simples contribuent à familiariser le lecteur avec les outils fondamentaux de résolution des problèmes de mécanique des solides. Une sixième partie est consacrée aux techniques de résolution numérique des équations de mouvement.</w:t>
        <w:br/>
        <w:br/>
        <w:br/>
        <w:br/>
        <w:t>Cette nouvelle édition présente deux nouveautés :</w:t>
        <w:br/>
        <w:br/>
        <w:br/>
        <w:br/>
        <w:t>des commentaires résument à la fin de chaque chapitre les notions fondamentales à assimiler ,</w:t>
        <w:br/>
        <w:br/>
        <w:t>une dernière partie développe les solutions des divers exercices proposés tout au long de l'ouvrage. La rédaction des corrigés a été volontairement développée et structurée de manière à améliorer la capacité de raisonnement du lecteur.</w:t>
        <w:br/>
        <w:br/>
        <w:t>Référence fondamentale pour le concepteur de systèmes mécaniques, Mécanique des solides rigides s'adresse plus particulièrement aux étudiants des premier et deuxième cycles de l'enseignement supérieur : BTS, DUT, classes préparatoires, licences et écoles d'ingénieurs...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