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w:t>
            </w:r>
          </w:p>
        </w:tc>
      </w:tr>
      <w:tr>
        <w:trPr>
          <w:trHeight w:val="567"/>
        </w:trPr>
        <w:tc>
          <w:tcPr>
            <w:tcW w:type="dxa" w:w="3000"/>
          </w:tcPr>
          <w:p>
            <w:r>
              <w:t>Edition</w:t>
            </w:r>
          </w:p>
        </w:tc>
        <w:tc>
          <w:tcPr>
            <w:tcW w:type="dxa" w:w="7000"/>
          </w:tcPr>
          <w:p>
            <w:r>
              <w:t>10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2040112693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électrocinétique/ </w:t>
            </w:r>
          </w:p>
        </w:tc>
      </w:tr>
    </w:tbl>
    <w:p>
      <w:pPr>
        <w:pStyle w:val="Heading3"/>
      </w:pPr>
      <w:r>
        <w:t>Résumé :</w:t>
      </w:r>
    </w:p>
    <w:p>
      <w:r>
        <w:t>L’électrostatique, qui étudie les charges électriques immobiles, leurs interactions et les champs/forces qu’elles génèrent. On y apprend notamment la loi de Coulomb, la notion de champ électrique, le potentiel électrique et l’énergie électrostatique. Cette partie sert à comprendre comment la charge se distribue et comment l’énergie peut être stockée (condensateurs).</w:t>
        <w:br/>
        <w:br/>
        <w:t>L’électrocinétique, qui s’intéresse au mouvement des charges dans les conducteurs, c’est-à-dire le courant électrique. On y développe les lois fondamentales comme celles d’Ohm et de Kirchhoff, ainsi que l’analyse des circuits électriques simples (résistances, générateurs, association de dipôles). La partie se termine souvent par l’étude des régimes transitoires (charge/décharge des condensateurs) et une introduction aux signaux continus et parfois alternatifs.</w:t>
        <w:br/>
        <w:br/>
        <w:t>l’objectif de l’ouvrage est d’amener progressivement l’étudiant à passer de la notion microscopique de charge à la modélisation macroscopique des circuits, tout en montrant les liens entre énergie, champ et courant.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