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Conservation et modernisation de la ville historique de Fès, Maroc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Matsubara, KÅosuke/ Yamashita, Yasuyuki/ Takahashi, Kimisa/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de recherches sur les langues et les cultures d'Asie et d'Afrique/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Study of languages and cultures of Asia and Africa monograph serie(N°:None)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250-255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9784863371552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croissance urbaine/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Médina, la ville nouvelle, et la Nouvelle Médina dessinés par YAMADA Yoshihiko. </w:t>
        <w:br/>
        <w:br/>
        <w:t>Première partie: Formation de trois secteurs à la suite de la politique de séparation.</w:t>
        <w:br/>
        <w:br/>
        <w:t xml:space="preserve"> Deuxième partie: Séparation en catastrophe, multiples strates des trois secteurs.</w:t>
        <w:br/>
        <w:br/>
        <w:t xml:space="preserve"> Troisième partie: Transition de la politique urbaine, unification et strates multiples; Au-delà de l'opposition entre la conservation et la modernisation.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