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eaux. T4, Coût et prix de l'alimentation en eau et de l'assainissement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Valiron, François/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487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ill., couv. ill.</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 p.p. 469-484. Index</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environnement/ </w:t>
            </w:r>
          </w:p>
        </w:tc>
      </w:tr>
    </w:tbl>
    <w:p>
      <w:pPr>
        <w:pStyle w:val="Heading3"/>
      </w:pPr>
      <w:r>
        <w:t>Résumé :</w:t>
      </w:r>
    </w:p>
    <w:p>
      <w:r>
        <w:t>Ce quatrième tome de Gestion des eaux est consacré à l'étude de la formation du coût et du prix de l'alimentation en eau et de l'assainissement. Il évoque comment on passe du coût global des ouvrages internes et externes nécessaires pour une desserte convenable des réseaux au prix pour l'usager, impôts locaux ou nationaux exclus, compte tenu de l'effet des modalités de financement, d'exploitation, d'entretien, de renouvellement et de tarification. L'analyse des nombreux paramètres qui interviennent sur les éléments précédents permet de montrer comment on peut influer sur le prix et aussi sur la marge importante de fluctuation indépendante de toute action. En effet, certains de ces paramètres sont fixes comme le site avec sa topographie et son hydrologie, d'autres, tels que l'urbanisation, la politique de financement et de renouvellement, ou le choix des structures de gestion dépendent d'autorités différentes de celles des services de l'eau qui ne peuvent agir directement que sur l'exploitation, l'entretien parfois sur la tarification et le choix des ouvrages internes.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