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Berg, Jeremy Mark/ Tymoczko, John L./ Stryer, Lubert/ Darmon,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Médecine-Sciences Flammarion/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9782257000033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Biologie moleculaire/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organisé en quatre grandes parties :</w:t>
        <w:br/>
        <w:br/>
        <w:t xml:space="preserve">1. « L’architecture moléculaire de la vie » : les constituants biochimiques fondamentaux — protéines, glucides, lipides — et comprend un nouveau chapitre sur l’hémoglobine. </w:t>
        <w:br/>
        <w:br/>
        <w:t xml:space="preserve">2. Les grandes voies du métabolisme énergétique et le stockage de l’énergie. </w:t>
        <w:br/>
        <w:br/>
        <w:t xml:space="preserve">3. Les « molécules de la vie » : biosynthèse des acides aminés, des nucléotides, des lipides membranaires, synthèse de l’ARN, réplication, recombinaison et réparation de l’ADN, synthèse des protéines. </w:t>
        <w:br/>
        <w:br/>
        <w:t xml:space="preserve">4. Les applications et aspects liés à l’environnement biologique : le système immunitaire, les systèmes sensoriels, le développement de nouveaux médicaments. </w:t>
        <w:br/>
        <w:br/>
        <w:t>L’ouvrage se termine par des annexes : constantes numériques, glossaire, index important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