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Panerai, Philippe/ Demorgon, Marcelle/ Depaule, Jean-Charles/ </w:t>
            </w:r>
          </w:p>
        </w:tc>
      </w:tr>
      <w:tr>
        <w:trPr>
          <w:trHeight w:val="567"/>
        </w:trPr>
        <w:tc>
          <w:tcPr>
            <w:tcW w:type="dxa" w:w="3000"/>
          </w:tcPr>
          <w:p>
            <w:r>
              <w:t>Adresse bib.</w:t>
            </w:r>
          </w:p>
        </w:tc>
        <w:tc>
          <w:tcPr>
            <w:tcW w:type="dxa" w:w="7000"/>
          </w:tcPr>
          <w:p>
            <w:r>
              <w:t xml:space="preserve">Editions Barzakh/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9789947851586</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paysage urbain/ </w:t>
            </w:r>
          </w:p>
        </w:tc>
      </w:tr>
    </w:tbl>
    <w:p>
      <w:pPr>
        <w:pStyle w:val="Heading3"/>
      </w:pPr>
      <w:r>
        <w:t>Résumé :</w:t>
      </w:r>
    </w:p>
    <w:p>
      <w:r>
        <w:t>La connaissance et la compréhension d'une ville ne forcent pas l'évidence, notamment pour les métropoles étendues marquées de strates historiques successives. Une première phase d'observation permet d'identifier les différences: tracés qui s'additionnent, se superposent, s'interrompent et ressurgissent, bâti qui se renouvelle et s'étend au gré d'une lente densification par excroissance, surélévation, découpage et comblement. L'urbanisation accélérée de la période contemporaine marque encore plus radicalement le paysage par le volume des constructions, le mode d'implantation et les techniques utilisées. Pour aller plus loin, il convient d'élaborer une connaissance d'investigation en mêlant l'approche historique, la géographie, le travail cartographique, l'analyse architecturale, l'observation constructive et celle des modes de vie. En affirmant l'importance du dessin comme un moyen de comprendre et de rendre sensible.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