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Principales parasitoses animales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Triki-Yamani,R.R./ Bachir-Pacha, M./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303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Numéro d'Identification</w:t>
            </w:r>
          </w:p>
        </w:tc>
        <w:tc>
          <w:tcPr>
            <w:tcW w:type="dxa" w:w="7000"/>
          </w:tcPr>
          <w:p>
            <w:r>
              <w:t>9789961019429</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Parasites/ Animaux/ Parasitoses/ </w:t>
            </w:r>
          </w:p>
        </w:tc>
      </w:tr>
    </w:tbl>
    <w:p>
      <w:pPr>
        <w:pStyle w:val="Heading3"/>
      </w:pPr>
      <w:r>
        <w:t>Résumé :</w:t>
      </w:r>
    </w:p>
    <w:p>
      <w:r>
        <w:t>ce guide par espèce animale et ,en suivant parfois l’ordre alphabétique des parasitoses et non la taxonomies .Dans le même souci et pour éviter des redites ,nous avons suivi certaines règles d’exposé de façon arbitraire mais que nous espérons commodes :le renvoi au cycle évolutif du parasite et aux antiparasitaires ,déjà signalés dans d’autres textes. En règle générale, les médicaments figurent sous leur dénomination commune internationale (DCI), parfois sous leurs nom déposé (N.D) quand ils sont largement usités. Ce petit ouvrage a l’ambition d’être l’un des « livres de poche » au sens propre, de l’étudiant en cycle clinique et du médecin vétérinaire exerçant indifféremment, en zone rurale ou en zone urbaine.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