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Praxis d'habitat social, reverts et couronnements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Moudjari, Messaoud/ Dahmani, Krimo/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 social/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l'insigne privilège d'être accessible à un large public tout en offrant une réflexion d'une hauteur et d'une clarté remarquable.</w:t>
        <w:br/>
        <w:br/>
        <w:t>Il pose en effet, le problème de la conciliation de l'habitat social urbain dans ses dimension sociale, collective, économique culturelle et environnementale.</w:t>
        <w:br/>
        <w:br/>
        <w:t>C'est bien un ensemble complexe faisant intervenir différents opérateurs de secteurs divers, que les auteurs ont su indiquer aux lecteurs de différents niveaux, aussi bien chercheurs universitaires que simples citoyens.</w:t>
        <w:br/>
        <w:br/>
        <w:t>Aussi, l'Algérie étant un riche réservoir culturel, se doit dans le domaine de l'habitat instaurer une politique alliant l'utile à l'esthétique, le culturel au moderne, l'économique au confort social, tel qu'il a été souligné dans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