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Pesticides et gibier, maladies du gibier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national agronomique Paris-Grignon/ Pesson,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 :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Maladies du gibier/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rassemble les communications présentées lors d’un séminaire tenu à l’Institut National Agronomique de Grignon en 1975. Il aborde les **effets des produits phytosanitaires et des polluants agricoles sur la faune sauvage**, en particulier sur le **gibier** (oiseaux, mammifères, petits animaux de chasse).</w:t>
        <w:br/>
        <w:br/>
        <w:t>La première partie, **« Pesticides et gibier »**, analyse l’impact des **insecticides, herbicides et fongicides** sur les milieux naturels et les chaînes alimentaires. Les intervenants y décrivent les mécanismes de contamination :</w:t>
        <w:br/>
        <w:br/>
        <w:t>* ingestion de semences traitées ou d’insectes empoisonnés,</w:t>
        <w:br/>
        <w:br/>
        <w:t>* bioaccumulation dans les tissus animaux,</w:t>
        <w:br/>
        <w:br/>
        <w:t>* perturbations des cycles de reproduction et de la survie des espèces.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