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conception architecturale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Mazouz, Said/ </w:t>
            </w:r>
          </w:p>
        </w:tc>
      </w:tr>
      <w:tr>
        <w:trPr>
          <w:trHeight w:val="567"/>
        </w:trPr>
        <w:tc>
          <w:tcPr>
            <w:tcW w:type="dxa" w:w="3000"/>
          </w:tcPr>
          <w:p>
            <w:r>
              <w:t>Edition</w:t>
            </w:r>
          </w:p>
        </w:tc>
        <w:tc>
          <w:tcPr>
            <w:tcW w:type="dxa" w:w="7000"/>
          </w:tcPr>
          <w:p>
            <w:r>
              <w:t>5ème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9789961007174</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conception architecturale/ </w:t>
            </w:r>
          </w:p>
        </w:tc>
      </w:tr>
    </w:tbl>
    <w:p>
      <w:pPr>
        <w:pStyle w:val="Heading3"/>
      </w:pPr>
      <w:r>
        <w:t>Résumé :</w:t>
      </w:r>
    </w:p>
    <w:p>
      <w:r>
        <w:t>Cet ouvrage vient combler partiellement le vide en matière de publications universitaires se rapportant au thème de la conception architecturale. Dans la pratique du projet, le syndrome de la feuille blanche est un phénomène récurrent et mal vécu chez l'étudiant architecte, mais aussi chez nombre de concepteurs. Le point de départ constitue une difficulté que l'analyse préalable, aussi fouillée soit-elle, ne fournit pas, car les mécanismes cognitifs sous-jacents appartiennent à des sphères différentes. D'où le recours à des « moyens » parfois justifiés et fortement générateurs, parfois assez peu justifiés. L'objectif est donc de mettre à la disposition des étudiants et des enseignants un texte synthétique et accessible sur les principaux éléments intervenant dans le processus de génération de la forme architecturale. L'ouvrage passe en revue les méthodes de conception, la créativité en architecture et tente une caractérisation du savoir scientifique fragmenté impliqué dans le processus conceptuel. Une méthode basée sur une approche intégrée synthétisant le rôle de quatre corps de savoir, l'environnement conceptuel, le planning spatial, l'environnement physique avec ses différents aspects contextuels et urbains et enfin les ressources et les technologies, pour générer la forme architecturale.Bien que l'ouvrage procède d'un unique continuum, il n'en est pas moins composé de deux parties procédant de deux manières d'appréhender le processus conceptuel. Pour chaque catégorie de savoir (physique, spatial ou conceptuel) est adjointe une série de « canevas » constituant une sorte de boite à outils accompagnant l'étudiant architecte dans sa quête d'une solution architecturale satisfaisante et pouvant être utilisée directement en situation de conception. Que l'on soit ou non en situation de conception impose deux lectures différentes. Une consultation à tête reposée afin d'acquérir les rudiments de base du savoir préalable à toute conception justifie la partie théorique du livre. Une utilisation directe des canevas en situation de conception justifie la présence de ces derniers.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