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Test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Rozenberg, Maurice/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2212090501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client seveur/ intranet/ </w:t>
            </w:r>
          </w:p>
        </w:tc>
      </w:tr>
    </w:tbl>
    <w:p>
      <w:pPr>
        <w:pStyle w:val="Heading3"/>
      </w:pPr>
      <w:r>
        <w:t>Résumé :</w:t>
      </w:r>
    </w:p>
    <w:p>
      <w:r>
        <w:t>Cet ouvrage propose une approche pragmatique du test logiciel, adaptée aux environnements professionnels (client-serveur, Web/Intranet, applications à composants). L’auteur y expose pourquoi le test est devenu une composante essentielle de la qualité logicielle : face aux besoins croissants des utilisateurs et des organisations, et aux coûts de maintenance des systèmes d’information.Comment situer les tests dans le cycle de vie d’un projet logiciel, en fonction du type d’architecture objet, client-serveur, Web et des contraintes performance, charge, installation.Une méthode concrète de mise en œuvre : planification, choix des types de tests, définition des jeux d’essais, exécution et reporting des résultats, analyse des anomalies. Une attention particulière portée aux cas  particuliers  : multimédia, documentation, impression, installation, mais aussi à la dimension métrique mesurer la couverture, le taux de défauts. Une sélection d’outils et de fiches méthodologiques prêtes à l’emploi, pour transformer la théorie en pratique opérationnelle.En annexes, des exemples réels illustrent la méthode (ex : l’arrivée de l’euro, la détection automatique d’anomalies de navigation) ce qui permet de voir les enjeux spécifiques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