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Traité d'électricité.V13, hyperfréquences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Gardiol, Fred/ Neirynck, Jacques/ </w:t>
            </w:r>
          </w:p>
        </w:tc>
      </w:tr>
      <w:tr>
        <w:trPr>
          <w:trHeight w:val="567"/>
        </w:trPr>
        <w:tc>
          <w:tcPr>
            <w:tcW w:type="dxa" w:w="3000"/>
          </w:tcPr>
          <w:p>
            <w:r>
              <w:t>Edition</w:t>
            </w:r>
          </w:p>
        </w:tc>
        <w:tc>
          <w:tcPr>
            <w:tcW w:type="dxa" w:w="7000"/>
          </w:tcPr>
          <w:p>
            <w:r>
              <w:t>1er ed.</w:t>
            </w:r>
          </w:p>
        </w:tc>
      </w:tr>
      <w:tr>
        <w:trPr>
          <w:trHeight w:val="567"/>
        </w:trPr>
        <w:tc>
          <w:tcPr>
            <w:tcW w:type="dxa" w:w="3000"/>
          </w:tcPr>
          <w:p>
            <w:r>
              <w:t>Adresse bib.</w:t>
            </w:r>
          </w:p>
        </w:tc>
        <w:tc>
          <w:tcPr>
            <w:tcW w:type="dxa" w:w="7000"/>
          </w:tcPr>
          <w:p>
            <w:r>
              <w:t xml:space="preserve">Editions Georgi/ </w:t>
            </w:r>
          </w:p>
        </w:tc>
      </w:tr>
      <w:tr>
        <w:trPr>
          <w:trHeight w:val="567"/>
        </w:trPr>
        <w:tc>
          <w:tcPr>
            <w:tcW w:type="dxa" w:w="3000"/>
          </w:tcPr>
          <w:p>
            <w:r>
              <w:t>Nombre de Pages</w:t>
            </w:r>
          </w:p>
        </w:tc>
        <w:tc>
          <w:tcPr>
            <w:tcW w:type="dxa" w:w="7000"/>
          </w:tcPr>
          <w:p>
            <w:r>
              <w:t>427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p. p. 409-418. Index</w:t>
            </w:r>
          </w:p>
        </w:tc>
      </w:tr>
      <w:tr>
        <w:trPr>
          <w:trHeight w:val="567"/>
        </w:trPr>
        <w:tc>
          <w:tcPr>
            <w:tcW w:type="dxa" w:w="3000"/>
          </w:tcPr>
          <w:p>
            <w:r>
              <w:t>Numéro d'Identification</w:t>
            </w:r>
          </w:p>
        </w:tc>
        <w:tc>
          <w:tcPr>
            <w:tcW w:type="dxa" w:w="7000"/>
          </w:tcPr>
          <w:p>
            <w:r>
              <w:t>2604000156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dispositifs à micro-ondes/ micro-ondes/ </w:t>
            </w:r>
          </w:p>
        </w:tc>
      </w:tr>
    </w:tbl>
    <w:p>
      <w:pPr>
        <w:pStyle w:val="Heading3"/>
      </w:pPr>
      <w:r>
        <w:t>Résumé :</w:t>
      </w:r>
    </w:p>
    <w:p>
      <w:r>
        <w:t>Traité d’électricité – Volume XIII : Hyperfréquences de Fred Gardiol (1981) : Dans ce traité, l’auteur explore l’univers des hyperfréquences — c’est-à-dire les ondes électromagnétiques dans la bande grosso modo de 300 MHz à 300 GHz — en montrant comment, à ces fréquences élevées, les approches classiques des circuits basse fréquence ne suffisent plus et la propagation, la réflexion, l’adaptation d’impédance, ainsi que les guides d’ondes, cavités et moyens de mesure exigent un formalisme dédié. Il présente tout d’abord les fondements de la propagation en milieu continu ou guidé (lignes de transmission, modes de propagation, pertes), puis détaille les structures de guidage — lignes coaxiales, micro­strips, guides d’ondes, cavités — en abordant leur conception, leurs modes propres, leurs caractéristiques de qualité (Q), et leur adaptation. Il introduit également les composants actifs et passifs fréquents en hyperfréquences (amplificateurs, oscillateurs, atténuateurs, coupleurs directionnels), les paramètres S pour caractériser les quadripôles et réseaux, et examine enfin les méthodes de mesure et leurs contraintes (réflectométrie, adaptation, bruit, etc.). L’ouvrage vise autant l’ingénieur que l’étudiant avancé, fournissant un cadre rigoureux en électromagnétisme appliqué au domaine HF/µ-ondes, tout en notant que — compte tenu de sa date — certaines technologies très récentes ne sont pas traitées en profondeur.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