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générale.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Trémolières,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w:t>
            </w:r>
          </w:p>
        </w:tc>
      </w:tr>
    </w:tbl>
    <w:p>
      <w:pPr>
        <w:pStyle w:val="Heading3"/>
      </w:pPr>
      <w:r>
        <w:t>Résumé :</w:t>
      </w:r>
    </w:p>
    <w:p>
      <w:r>
        <w:t>Le premier tome de Biologie générale présente les fondements physico -chimiques nécessaires à la compréhension des phénomènes biologiques. Il aborde la structure et les propriétés de la matière vivante, les éléments chimiques essentiels à la vie, ainsi que les principales interactions moléculaires. L’ouvrage explique les notions de thermodynamique appliquées au vivant, les équilibres chimiques, les solutions et les échanges ioniques. Il met également en évidence le rôle de l’eau, des macromolécules biologiques et des réactions biochimiques dans le fonctionnement cellulaire. Ce tome constitue une introduction essentielle pour relier les lois de la physique et de la chimie aux processus biologiques fondamentaux.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