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Faith and power in Japanese Buddhist Art 1600-2005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Graham, Patricia J./ </w:t>
            </w:r>
          </w:p>
        </w:tc>
      </w:tr>
      <w:tr>
        <w:trPr>
          <w:trHeight w:val="567"/>
        </w:trPr>
        <w:tc>
          <w:tcPr>
            <w:tcW w:type="dxa" w:w="3000"/>
          </w:tcPr>
          <w:p>
            <w:r>
              <w:t>Adresse bib.</w:t>
            </w:r>
          </w:p>
        </w:tc>
        <w:tc>
          <w:tcPr>
            <w:tcW w:type="dxa" w:w="7000"/>
          </w:tcPr>
          <w:p>
            <w:r>
              <w:t xml:space="preserve">University of Hawaii Press/ </w:t>
            </w:r>
          </w:p>
        </w:tc>
      </w:tr>
      <w:tr>
        <w:trPr>
          <w:trHeight w:val="567"/>
        </w:trPr>
        <w:tc>
          <w:tcPr>
            <w:tcW w:type="dxa" w:w="3000"/>
          </w:tcPr>
          <w:p>
            <w:r>
              <w:t>Nombre de Pages</w:t>
            </w:r>
          </w:p>
        </w:tc>
        <w:tc>
          <w:tcPr>
            <w:tcW w:type="dxa" w:w="7000"/>
          </w:tcPr>
          <w:p>
            <w:r>
              <w:t>363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9780824831912</w:t>
            </w:r>
          </w:p>
        </w:tc>
      </w:tr>
      <w:tr>
        <w:trPr>
          <w:trHeight w:val="567"/>
        </w:trPr>
        <w:tc>
          <w:tcPr>
            <w:tcW w:type="dxa" w:w="3000"/>
          </w:tcPr>
          <w:p>
            <w:r>
              <w:t>Thème</w:t>
            </w:r>
          </w:p>
        </w:tc>
        <w:tc>
          <w:tcPr>
            <w:tcW w:type="dxa" w:w="7000"/>
          </w:tcPr>
          <w:p>
            <w:r>
              <w:t>Études biographiques, géographiques, historiques relatives aux arts décoratifs et aux beaux-arts</w:t>
            </w:r>
          </w:p>
        </w:tc>
      </w:tr>
      <w:tr>
        <w:trPr>
          <w:trHeight w:val="567"/>
        </w:trPr>
        <w:tc>
          <w:tcPr>
            <w:tcW w:type="dxa" w:w="3000"/>
          </w:tcPr>
          <w:p>
            <w:r>
              <w:t>Classification(s)</w:t>
            </w:r>
          </w:p>
        </w:tc>
        <w:tc>
          <w:tcPr>
            <w:tcW w:type="dxa" w:w="7000"/>
          </w:tcPr>
          <w:p>
            <w:r>
              <w:t xml:space="preserve">Études biographiques, géographiques, historiques relatives aux arts décoratifs et aux beaux-arts/ </w:t>
            </w:r>
          </w:p>
        </w:tc>
      </w:tr>
      <w:tr>
        <w:trPr>
          <w:trHeight w:val="567"/>
        </w:trPr>
        <w:tc>
          <w:tcPr>
            <w:tcW w:type="dxa" w:w="3000"/>
          </w:tcPr>
          <w:p>
            <w:r>
              <w:t>Sujet(s)</w:t>
            </w:r>
          </w:p>
        </w:tc>
        <w:tc>
          <w:tcPr>
            <w:tcW w:type="dxa" w:w="7000"/>
          </w:tcPr>
          <w:p>
            <w:r>
              <w:t xml:space="preserve">japanese buddhist art/ buddhist sculpture/ </w:t>
            </w:r>
          </w:p>
        </w:tc>
      </w:tr>
    </w:tbl>
    <w:p>
      <w:pPr>
        <w:pStyle w:val="Heading3"/>
      </w:pPr>
      <w:r>
        <w:t>Résumé :</w:t>
      </w:r>
    </w:p>
    <w:p>
      <w:r>
        <w:t>Faith and Power in Japanese Buddhist Art explores the transformation of Buddhism from the premodern to the contemporary era in Japan and the central role its visual culture has played in this transformation. Although Buddhism is generally regarded as peripheral to modern Japanese society, this book demonstrates otherwise. Its chapters elucidate the thread of change over time in the practice of Buddhism as revealed in temple worship halls and other sites of devotion and in imagery representing the religion’s most popular deities and religious practices. It also introduces the work of modern and contemporary artists who are not generally associated with institutional Buddhism and its canonical visual requirements but whose faith inspires their 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