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&amp;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Moulessehoul, Soraya/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9789961007425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génétique/ </w:t>
            </w:r>
          </w:p>
        </w:tc>
      </w:tr>
    </w:tbl>
    <w:p>
      <w:pPr>
        <w:pStyle w:val="Heading3"/>
      </w:pPr>
      <w:r>
        <w:t>Résumé :</w:t>
      </w:r>
    </w:p>
    <w:p>
      <w:r>
        <w:t>Ce document composé de cinq chapitres, distiné aux étudiants de la 1ère année du tronc commun des Sciences de la Nature(TCSN)et aux étudiants de la 1ère année biomédicale, s'articule autours de quelques rappels sur l'organisation de la cellule et son ultrastructure.Les divisions cellulaires,de type somatique ou de maturation,sont traitées dans le second chapitre.Un volet important concernant la cytogénétique, avec de nombreuses illustrations riches en informations, est abordé en chapitre 3. Les deux derniers chapitres mettent la lumière sur les principes et les mécanismes de l'hérédite et la génétique Mendélienne.Ce travail préliminaire inspiré du programme des cours de biologie demeure néamoins une ébauche, qui doit étre complétée par les compléments pédagogiques adéquats.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