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d'électricité.V2, matériaux de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Philippe/ Neirynck, 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978-2-88074-419-9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transformation thermodynamique/ </w:t>
            </w:r>
          </w:p>
        </w:tc>
      </w:tr>
    </w:tbl>
    <w:p>
      <w:pPr>
        <w:pStyle w:val="Heading3"/>
      </w:pPr>
      <w:r>
        <w:t>Résumé :</w:t>
      </w:r>
    </w:p>
    <w:p>
      <w:r>
        <w:t>Dans les calculs de l’ingénieur électricien, le matériau utilisé apparaît le plus souvent sous la forme d’une simple lettre dans une équation pour désigner la résistivité, la permittivité ou la perméabilité. Dans la formation de l’ingénieur électricien, il n’est pas exagéré de dire que la connaissance des matériaux brille trop souvent par son absence. Or les matériaux de l’électro-technique n’ont pas cessé de se perfectionner et de se diversifier. Les chapitres consacrés aux propriétés conductrices, aux propriétés magnétiques et aux propriétés diélectriques forment le coeur de l’ouvrage. Un premier chapitre introduit les notions de physique de solide indispensables, auxquelles de nombreuses références sont faites dans la suite. La fin de l’ouvrage traite succinctement des transformations thermodynamiques et des propriétés mécaniques. La démarche adoptée tout au long de l’ouvrage se distingue de celles en usage en physique d’une part, en science des matériaux d’autre part, par le fait que la sélection des modèles, leur présentation, ainsi que le choix de la matière en général ont été effectués directement en fonction du profit qu’en retire l’électricien.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