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Virologie humaine et animale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Pasquier, Christophe/ Bertagnoli, Stéphane/ Messud-Petit, Frédérique/ Huraux, Jean-Marie/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281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p.p. 271-274. Index p.p. 275-281</w:t>
            </w:r>
          </w:p>
        </w:tc>
      </w:tr>
      <w:tr>
        <w:trPr>
          <w:trHeight w:val="567"/>
        </w:trPr>
        <w:tc>
          <w:tcPr>
            <w:tcW w:type="dxa" w:w="3000"/>
          </w:tcPr>
          <w:p>
            <w:r>
              <w:t>Numéro d'Identification</w:t>
            </w:r>
          </w:p>
        </w:tc>
        <w:tc>
          <w:tcPr>
            <w:tcW w:type="dxa" w:w="7000"/>
          </w:tcPr>
          <w:p>
            <w:r>
              <w:t>2100488457</w:t>
            </w:r>
          </w:p>
        </w:tc>
      </w:tr>
      <w:tr>
        <w:trPr>
          <w:trHeight w:val="567"/>
        </w:trPr>
        <w:tc>
          <w:tcPr>
            <w:tcW w:type="dxa" w:w="3000"/>
          </w:tcPr>
          <w:p>
            <w:r>
              <w:t>Thème</w:t>
            </w:r>
          </w:p>
        </w:tc>
        <w:tc>
          <w:tcPr>
            <w:tcW w:type="dxa" w:w="7000"/>
          </w:tcPr>
          <w:p>
            <w:r>
              <w:t>Bactériologie et microbiologie médicale</w:t>
            </w:r>
          </w:p>
        </w:tc>
      </w:tr>
      <w:tr>
        <w:trPr>
          <w:trHeight w:val="567"/>
        </w:trPr>
        <w:tc>
          <w:tcPr>
            <w:tcW w:type="dxa" w:w="3000"/>
          </w:tcPr>
          <w:p>
            <w:r>
              <w:t>Classification(s)</w:t>
            </w:r>
          </w:p>
        </w:tc>
        <w:tc>
          <w:tcPr>
            <w:tcW w:type="dxa" w:w="7000"/>
          </w:tcPr>
          <w:p>
            <w:r>
              <w:t xml:space="preserve">Bactériologie et microbiologie médicale/ </w:t>
            </w:r>
          </w:p>
        </w:tc>
      </w:tr>
      <w:tr>
        <w:trPr>
          <w:trHeight w:val="567"/>
        </w:trPr>
        <w:tc>
          <w:tcPr>
            <w:tcW w:type="dxa" w:w="3000"/>
          </w:tcPr>
          <w:p>
            <w:r>
              <w:t>Sujet(s)</w:t>
            </w:r>
          </w:p>
        </w:tc>
        <w:tc>
          <w:tcPr>
            <w:tcW w:type="dxa" w:w="7000"/>
          </w:tcPr>
          <w:p>
            <w:r>
              <w:t xml:space="preserve">virologie vétérinaire/ </w:t>
            </w:r>
          </w:p>
        </w:tc>
      </w:tr>
    </w:tbl>
    <w:p>
      <w:pPr>
        <w:pStyle w:val="Heading3"/>
      </w:pPr>
      <w:r>
        <w:t>Résumé :</w:t>
      </w:r>
    </w:p>
    <w:p>
      <w:r>
        <w:t>Cet ouvrage  offre un panorama complet et actualisé des virus infectant l'Homme, les animaux et bien souvent les deux (grippe, SRAS...). Il permet l'acquisition des données de base indispensables à la compréhension du monde viral et présente les pathologies virales, leur diagnostic clinique et biologique ainsi que les mesures thérapeutiques et préventives disponibles. Manuel tout-en-un, cet ouvrage comprend un cours de virologie générale, une aide au diagnostic des infections virales humaines et vétérinaires et des fiches synthétiques par virus. Ces fiches illustrées permettent une acquisition rapide ou une révision des données essentielles sur un virus ou une famille virale. Des QCM permettent de contrôler l'acquisition des connaissances. Enfin, des compléments et des mises à jour sont disponibles sur le site web de l'éditeur. L'ouvrage s'adresse aux étudiants de premier cycle (médecine, pharmacie, vétérinaire, sciences) pour les notions de base, mais surtout à ceux des deuxième et troisième cycles étudiant les pathologies virales. Il est également utile aux médecins, biologistes, vétérinaires et techniciens de laboratoire impliqués dans le diagnostic des infections virales et recherchant un ouvrage pratique de référence.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